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FF" w:rsidRDefault="002A5BFF" w:rsidP="008D37B6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 xml:space="preserve">Приложение № </w:t>
      </w:r>
      <w:r w:rsidR="007242DF">
        <w:rPr>
          <w:b/>
          <w:bCs/>
          <w:szCs w:val="24"/>
          <w:lang w:eastAsia="zh-CN"/>
        </w:rPr>
        <w:t>4</w:t>
      </w:r>
    </w:p>
    <w:p w:rsidR="002A5BFF" w:rsidRDefault="002A5BFF" w:rsidP="008D37B6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b/>
          <w:bCs/>
          <w:szCs w:val="24"/>
          <w:lang w:eastAsia="zh-CN"/>
        </w:rPr>
      </w:pPr>
    </w:p>
    <w:p w:rsidR="005238C1" w:rsidRDefault="005238C1" w:rsidP="008D37B6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bCs/>
          <w:szCs w:val="24"/>
          <w:lang w:eastAsia="zh-CN"/>
        </w:rPr>
      </w:pPr>
    </w:p>
    <w:p w:rsidR="009A03B0" w:rsidRPr="009A03B0" w:rsidRDefault="00AB0134" w:rsidP="007242DF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bCs/>
          <w:szCs w:val="24"/>
          <w:lang w:eastAsia="zh-CN"/>
        </w:rPr>
      </w:pPr>
      <w:r w:rsidRPr="00AB0134">
        <w:rPr>
          <w:b/>
          <w:bCs/>
          <w:szCs w:val="24"/>
          <w:lang w:eastAsia="zh-CN"/>
        </w:rPr>
        <w:t xml:space="preserve">Информация </w:t>
      </w:r>
      <w:r w:rsidR="007242DF" w:rsidRPr="007242DF">
        <w:rPr>
          <w:b/>
          <w:bCs/>
          <w:szCs w:val="24"/>
          <w:lang w:eastAsia="zh-CN"/>
        </w:rPr>
        <w:t xml:space="preserve">о достижении значений результатов </w:t>
      </w:r>
      <w:r w:rsidR="007242DF">
        <w:rPr>
          <w:b/>
          <w:bCs/>
          <w:szCs w:val="24"/>
          <w:lang w:eastAsia="zh-CN"/>
        </w:rPr>
        <w:br/>
      </w:r>
      <w:r w:rsidR="007242DF" w:rsidRPr="007242DF">
        <w:rPr>
          <w:b/>
          <w:bCs/>
          <w:szCs w:val="24"/>
          <w:lang w:eastAsia="zh-CN"/>
        </w:rPr>
        <w:t>предоставления субсидии</w:t>
      </w:r>
      <w:r w:rsidR="007242DF">
        <w:rPr>
          <w:b/>
          <w:bCs/>
          <w:szCs w:val="24"/>
          <w:lang w:eastAsia="zh-CN"/>
        </w:rPr>
        <w:t xml:space="preserve"> </w:t>
      </w:r>
      <w:r w:rsidR="007242DF" w:rsidRPr="007242DF">
        <w:rPr>
          <w:b/>
          <w:bCs/>
          <w:szCs w:val="24"/>
          <w:lang w:eastAsia="zh-CN"/>
        </w:rPr>
        <w:t>акционерно</w:t>
      </w:r>
      <w:r w:rsidR="007242DF">
        <w:rPr>
          <w:b/>
          <w:bCs/>
          <w:szCs w:val="24"/>
          <w:lang w:eastAsia="zh-CN"/>
        </w:rPr>
        <w:t>му</w:t>
      </w:r>
      <w:r w:rsidR="007242DF" w:rsidRPr="007242DF">
        <w:rPr>
          <w:b/>
          <w:bCs/>
          <w:szCs w:val="24"/>
          <w:lang w:eastAsia="zh-CN"/>
        </w:rPr>
        <w:t xml:space="preserve"> обществ</w:t>
      </w:r>
      <w:r w:rsidR="007242DF">
        <w:rPr>
          <w:b/>
          <w:bCs/>
          <w:szCs w:val="24"/>
          <w:lang w:eastAsia="zh-CN"/>
        </w:rPr>
        <w:t>у</w:t>
      </w:r>
      <w:r w:rsidR="007242DF" w:rsidRPr="007242DF">
        <w:rPr>
          <w:b/>
          <w:bCs/>
          <w:szCs w:val="24"/>
          <w:lang w:eastAsia="zh-CN"/>
        </w:rPr>
        <w:t xml:space="preserve"> </w:t>
      </w:r>
      <w:r w:rsidR="007242DF">
        <w:rPr>
          <w:b/>
          <w:bCs/>
          <w:szCs w:val="24"/>
          <w:lang w:eastAsia="zh-CN"/>
        </w:rPr>
        <w:br/>
      </w:r>
      <w:r w:rsidR="007242DF" w:rsidRPr="007242DF">
        <w:rPr>
          <w:b/>
          <w:bCs/>
          <w:szCs w:val="24"/>
          <w:lang w:eastAsia="zh-CN"/>
        </w:rPr>
        <w:t>«Корпорация развития Дальнего Востока и</w:t>
      </w:r>
      <w:r w:rsidR="007242DF">
        <w:rPr>
          <w:b/>
          <w:bCs/>
          <w:szCs w:val="24"/>
          <w:lang w:eastAsia="zh-CN"/>
        </w:rPr>
        <w:t xml:space="preserve"> Арктики» </w:t>
      </w:r>
      <w:r w:rsidR="009A03B0">
        <w:rPr>
          <w:b/>
          <w:bCs/>
          <w:szCs w:val="24"/>
          <w:lang w:eastAsia="zh-CN"/>
        </w:rPr>
        <w:br/>
      </w:r>
      <w:r w:rsidR="007242DF">
        <w:rPr>
          <w:b/>
          <w:bCs/>
          <w:szCs w:val="24"/>
          <w:lang w:eastAsia="zh-CN"/>
        </w:rPr>
        <w:t>(далее – АО «</w:t>
      </w:r>
      <w:proofErr w:type="spellStart"/>
      <w:r w:rsidR="007242DF">
        <w:rPr>
          <w:b/>
          <w:bCs/>
          <w:szCs w:val="24"/>
          <w:lang w:eastAsia="zh-CN"/>
        </w:rPr>
        <w:t>КРДВиА</w:t>
      </w:r>
      <w:proofErr w:type="spellEnd"/>
      <w:r w:rsidR="007242DF">
        <w:rPr>
          <w:b/>
          <w:bCs/>
          <w:szCs w:val="24"/>
          <w:lang w:eastAsia="zh-CN"/>
        </w:rPr>
        <w:t>»)</w:t>
      </w:r>
      <w:r w:rsidR="009A03B0">
        <w:rPr>
          <w:b/>
          <w:bCs/>
          <w:szCs w:val="24"/>
          <w:lang w:eastAsia="zh-CN"/>
        </w:rPr>
        <w:t xml:space="preserve"> </w:t>
      </w:r>
      <w:r w:rsidR="009A03B0" w:rsidRPr="009A03B0">
        <w:rPr>
          <w:b/>
          <w:lang w:eastAsia="zh-CN"/>
        </w:rPr>
        <w:t xml:space="preserve">по соглашению </w:t>
      </w:r>
      <w:r w:rsidR="009A03B0">
        <w:rPr>
          <w:b/>
          <w:lang w:eastAsia="zh-CN"/>
        </w:rPr>
        <w:br/>
      </w:r>
      <w:r w:rsidR="009A03B0" w:rsidRPr="009A03B0">
        <w:rPr>
          <w:b/>
          <w:lang w:eastAsia="zh-CN"/>
        </w:rPr>
        <w:t>от 1 февраля 2021 г. № 350-11-2021-005</w:t>
      </w:r>
    </w:p>
    <w:p w:rsidR="008D37B6" w:rsidRDefault="008D37B6" w:rsidP="008D37B6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bCs/>
          <w:szCs w:val="24"/>
          <w:lang w:eastAsia="zh-CN"/>
        </w:rPr>
      </w:pPr>
    </w:p>
    <w:p w:rsidR="007242DF" w:rsidRDefault="007242DF" w:rsidP="007242DF">
      <w:pPr>
        <w:overflowPunct/>
        <w:autoSpaceDE/>
        <w:autoSpaceDN/>
        <w:adjustRightInd/>
        <w:spacing w:line="240" w:lineRule="auto"/>
        <w:textAlignment w:val="auto"/>
        <w:rPr>
          <w:lang w:eastAsia="zh-CN"/>
        </w:rPr>
      </w:pPr>
      <w:r w:rsidRPr="007242DF">
        <w:rPr>
          <w:lang w:eastAsia="zh-CN"/>
        </w:rPr>
        <w:t>Информация из отчета о достижении значений результатов предоставления субсидии (письмо АО «</w:t>
      </w:r>
      <w:proofErr w:type="spellStart"/>
      <w:r w:rsidRPr="007242DF">
        <w:rPr>
          <w:lang w:eastAsia="zh-CN"/>
        </w:rPr>
        <w:t>КРДВиА</w:t>
      </w:r>
      <w:proofErr w:type="spellEnd"/>
      <w:r w:rsidRPr="007242DF">
        <w:rPr>
          <w:lang w:eastAsia="zh-CN"/>
        </w:rPr>
        <w:t xml:space="preserve">» в Минвостокразвития России от 9 февраля 2022 г. № 001-1620) по состоянию на 1 января 2022 года представлена в </w:t>
      </w:r>
      <w:r>
        <w:rPr>
          <w:lang w:eastAsia="zh-CN"/>
        </w:rPr>
        <w:t>следующей таблице</w:t>
      </w:r>
      <w:r w:rsidR="009A03B0">
        <w:rPr>
          <w:lang w:eastAsia="zh-CN"/>
        </w:rPr>
        <w:t>.</w:t>
      </w:r>
    </w:p>
    <w:p w:rsidR="007242DF" w:rsidRPr="007242DF" w:rsidRDefault="007242DF" w:rsidP="007242DF">
      <w:pPr>
        <w:overflowPunct/>
        <w:autoSpaceDE/>
        <w:autoSpaceDN/>
        <w:adjustRightInd/>
        <w:spacing w:line="240" w:lineRule="auto"/>
        <w:textAlignment w:val="auto"/>
        <w:rPr>
          <w:lang w:eastAsia="zh-CN"/>
        </w:rPr>
      </w:pPr>
      <w:bookmarkStart w:id="0" w:name="_GoBack"/>
    </w:p>
    <w:tbl>
      <w:tblPr>
        <w:tblW w:w="97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1"/>
        <w:gridCol w:w="994"/>
        <w:gridCol w:w="1016"/>
      </w:tblGrid>
      <w:tr w:rsidR="007242DF" w:rsidRPr="00F078CC" w:rsidTr="00387D40">
        <w:trPr>
          <w:cantSplit/>
          <w:trHeight w:val="284"/>
          <w:tblHeader/>
        </w:trPr>
        <w:tc>
          <w:tcPr>
            <w:tcW w:w="7701" w:type="dxa"/>
            <w:shd w:val="clear" w:color="auto" w:fill="auto"/>
            <w:noWrap/>
            <w:vAlign w:val="center"/>
            <w:hideMark/>
          </w:tcPr>
          <w:bookmarkEnd w:id="0"/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на 1.01.2022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 xml:space="preserve">Достижение показателей государственной программы Российской Федерации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78CC">
              <w:rPr>
                <w:b/>
                <w:bCs/>
                <w:color w:val="000000"/>
                <w:sz w:val="20"/>
                <w:szCs w:val="20"/>
              </w:rPr>
              <w:t>«Социально-экономическое развитие Дальневосточного федерального округа»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Накопленный объем инвестиций резидентов территорий опережающего социально-экономического развития в Дальневосточном федеральном округе (без учета бюджетных инвестиций (нарастающим итогом), млрд. рублей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1047,7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1442,4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созданных рабочих мест на территориях опережающего социально-экономического развития в Дальневосточном федеральном округе (нарастающим итогом)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созданных рабочих мест на территории свободного порта Владивосток (нарастающим итогом)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предоставленных земельных участков по программе «Дальневосточный гектар» (нарастающим итогом), тыс. единиц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76,32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76,725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 xml:space="preserve">Количество деклараций об использовании земельных участков, представленных </w:t>
            </w:r>
            <w:r>
              <w:rPr>
                <w:color w:val="000000"/>
                <w:sz w:val="20"/>
                <w:szCs w:val="20"/>
              </w:rPr>
              <w:br/>
            </w:r>
            <w:r w:rsidRPr="00F078CC">
              <w:rPr>
                <w:color w:val="000000"/>
                <w:sz w:val="20"/>
                <w:szCs w:val="20"/>
              </w:rPr>
              <w:t>в уполномоченные органы участниками программы «Дальневосточный гектар» (нарастающим итогом), тыс. единиц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16,005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рабочих мест, созданных резидентами территорий опережающего социально-экономического развития и свободного порта Владивосток, инвесторами в результате реализации в рамках Программы инвестиционных проектов, а также иными хозяйствующими субъектами в Дальневосточном федеральном округе и обеспеченных трудовыми ресурсами в соответствии с соглашениями, заключенными с Получателем (нарастающим итогом), тысяч рабочих мест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50,06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Объем частных инвестиций, привлеченных при участии Получателя (нарастающим итогом), млрд. рублей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4869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5663,4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Сумма экспортных сделок, заключенных при участии Получателя (нарастающим итогом), млрд. рублей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53,49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Реализация проектов и (или) мероприятий, направленных на развитие человеческого капитала в Дальневосточном федеральном округе и в Арктической зоне Российской Федерации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реализованных проектов и (или) мероприятий, направленных на развитие человеческого капитала в Дальневосточном федеральном округе и в Арктической зоне Российской Федерации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проведенных социологических исследований, направленных на развитие человеческого капитала в Дальневосточном федеральном округе и в Арктической зоне Российской Федерации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Содействие обеспечению трудовыми ресурсами резидентов территорий опережающего социально-экономического развития и иных работодателей, осуществляющих деятельность на территории Дальневосточного федерального округа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проведенных мероприятий, направленных на обеспечение работодателей в Дальневосточном федеральном округе трудовыми ресурсами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проведенных мероприятий по профессиональной ориентации и поддержке молодёжи на рынке труда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lastRenderedPageBreak/>
              <w:t>Количество созданных информационно-аналитических материалов, направленных на обеспечение трудовыми ресурсами работодателей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Содействие обеспечению трудовыми ресурсами резидентов территорий опережающего социально-экономического развития и иных работодателей, осуществляющих деятельность на территории Арктической зоны Российской Федерации» (включая содействие в организации профессионального обучения и дополнительного профессионального образования граждан Российской Федерации, проживающих на указанной территории)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проведенных мероприятий, направленных на обеспечение работодателей в Арктической зоне Российской Федерации трудовыми ресурсами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проведенных мероприятий по профессиональной ориентации и поддержке молодёжи на рынке труда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созданных информационно-аналитических материалов, направленных на обеспечение трудовыми ресурсами работодателей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Реализация Федерального закона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уполномоченных органов, которым оказана методологическая поддержка по реализации программы «Дальневосточный гектар», в общем количестве уполномоченных органов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отработанных обращений граждан в общем количестве полученных обращений по вопросам получения и использования земельных участков на Дальнем Востоке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реализованных мероприятий, направленных на популяризацию получения и использования гражданами земельных участков на Дальнем Востоке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подготовленных предложений 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иные нормативные правовые акты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подготовленных предложений об информационном наполнении федеральной информационной системы для предоставления гражданам земельных участков на Дальнем Востоке и ее совершенствовании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созданных аналитических документов по реализации Федерального закона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разработанных системных решений и моделей, упрощающих освоение гражданами земельных участков на Дальнем Востоке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 xml:space="preserve">Информационное сопровождение основных направлений деятельности Получателя,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78CC">
              <w:rPr>
                <w:b/>
                <w:bCs/>
                <w:color w:val="000000"/>
                <w:sz w:val="20"/>
                <w:szCs w:val="20"/>
              </w:rPr>
              <w:t xml:space="preserve">направленных на реализацию целей предоставления субсидии, определенных в пункте 2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78CC">
              <w:rPr>
                <w:b/>
                <w:bCs/>
                <w:color w:val="000000"/>
                <w:sz w:val="20"/>
                <w:szCs w:val="20"/>
              </w:rPr>
              <w:t>Правил предоставления субсидии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Индекс, отражающий представление деятельности Получателя в средствах массовой информации и учитывающий показатели и качественные параметры публикаций в средствах массовой информации с упоминанием Получателя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78C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100 931,8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Объем размещенных Получателем публикаций в социальных сетях, млн. человек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посетителей официального сайта Получателя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78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65 005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Реализация проектов и (или) мероприятий по улучшению имиджа Дальневосточного федерального округа и Арктической зоны Российской Федерации как территорий, благоприятных для жизни, профессионального и карьерного развития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реализованных проектов и (или) мероприятий по улучшению имиджа Дальневосточного федерального округа и Арктической зоны Российской Федерации как территорий, благоприятных для жизни, профессионального и карьерного развития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Сопровождение программы «Дальневосточная ипотека»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lastRenderedPageBreak/>
              <w:t>Количество реализованных мероприятий, направленных на информационное и организационно-методическое сопровождение получения гражданами жилищных (ипотечных) кредитов в рамках программы «Дальневосточная ипотека»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Организация работы «горячей линии» по реализации программы «Дальневосточная ипотека»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информационных материалов, размещенных на официальном сайте Получателя, в средствах массовой информации и социальных сетях, направленных на информирование потенциальных участников программы «Дальневосточная ипотека» о кредитных организациях и участвующих в программе строительных организациях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9711" w:type="dxa"/>
            <w:gridSpan w:val="3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8CC">
              <w:rPr>
                <w:b/>
                <w:bCs/>
                <w:color w:val="000000"/>
                <w:sz w:val="20"/>
                <w:szCs w:val="20"/>
              </w:rPr>
              <w:t>Осуществление мониторинга и анализа влияния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иных мероприятий, осуществляемых на территории Дальневосточного федерального округа, на улучшение демографической ситуации, привлечение и закрепление трудовых ресурсов и повышение уровня развития человеческого капитала</w:t>
            </w:r>
          </w:p>
        </w:tc>
      </w:tr>
      <w:tr w:rsidR="007242DF" w:rsidRPr="00F078CC" w:rsidTr="00387D40">
        <w:trPr>
          <w:cantSplit/>
          <w:trHeight w:val="284"/>
        </w:trPr>
        <w:tc>
          <w:tcPr>
            <w:tcW w:w="7701" w:type="dxa"/>
            <w:shd w:val="clear" w:color="auto" w:fill="auto"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Количество аналитических материалов, направленных в заинтересованные федеральные органы исполнительной власти, органы исполнительной власти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F078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242DF" w:rsidRPr="00F078CC" w:rsidRDefault="007242DF" w:rsidP="00387D40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7242DF" w:rsidRPr="000D7A3E" w:rsidRDefault="007242DF" w:rsidP="007242DF">
      <w:pPr>
        <w:pStyle w:val="a7"/>
        <w:spacing w:line="336" w:lineRule="auto"/>
        <w:ind w:firstLine="720"/>
        <w:jc w:val="both"/>
        <w:rPr>
          <w:rStyle w:val="FontStyle326"/>
          <w:bCs/>
          <w:iCs/>
          <w:sz w:val="24"/>
          <w:szCs w:val="24"/>
          <w:lang w:val="ru-RU"/>
        </w:rPr>
      </w:pPr>
    </w:p>
    <w:p w:rsidR="007242DF" w:rsidRDefault="007242DF" w:rsidP="00D1586D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sectPr w:rsidR="007242DF" w:rsidSect="005A4D0B">
      <w:headerReference w:type="default" r:id="rId6"/>
      <w:pgSz w:w="11901" w:h="16817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1B" w:rsidRDefault="0067461B" w:rsidP="008D37B6">
      <w:pPr>
        <w:spacing w:line="240" w:lineRule="auto"/>
      </w:pPr>
      <w:r>
        <w:separator/>
      </w:r>
    </w:p>
  </w:endnote>
  <w:endnote w:type="continuationSeparator" w:id="0">
    <w:p w:rsidR="0067461B" w:rsidRDefault="0067461B" w:rsidP="008D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1B" w:rsidRDefault="0067461B" w:rsidP="008D37B6">
      <w:pPr>
        <w:spacing w:line="240" w:lineRule="auto"/>
      </w:pPr>
      <w:r>
        <w:separator/>
      </w:r>
    </w:p>
  </w:footnote>
  <w:footnote w:type="continuationSeparator" w:id="0">
    <w:p w:rsidR="0067461B" w:rsidRDefault="0067461B" w:rsidP="008D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286673"/>
      <w:docPartObj>
        <w:docPartGallery w:val="Page Numbers (Top of Page)"/>
        <w:docPartUnique/>
      </w:docPartObj>
    </w:sdtPr>
    <w:sdtEndPr/>
    <w:sdtContent>
      <w:p w:rsidR="008D37B6" w:rsidRDefault="008D37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B0">
          <w:rPr>
            <w:noProof/>
          </w:rPr>
          <w:t>3</w:t>
        </w:r>
        <w:r>
          <w:fldChar w:fldCharType="end"/>
        </w:r>
      </w:p>
    </w:sdtContent>
  </w:sdt>
  <w:p w:rsidR="008D37B6" w:rsidRDefault="008D3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27"/>
    <w:rsid w:val="00025BA0"/>
    <w:rsid w:val="00066EE0"/>
    <w:rsid w:val="000D011E"/>
    <w:rsid w:val="00147B49"/>
    <w:rsid w:val="001D7C53"/>
    <w:rsid w:val="001F6354"/>
    <w:rsid w:val="00234642"/>
    <w:rsid w:val="0025378C"/>
    <w:rsid w:val="002A5BFF"/>
    <w:rsid w:val="00331B0C"/>
    <w:rsid w:val="003D730A"/>
    <w:rsid w:val="00486BE5"/>
    <w:rsid w:val="00492F55"/>
    <w:rsid w:val="00503AC8"/>
    <w:rsid w:val="005078E8"/>
    <w:rsid w:val="005238C1"/>
    <w:rsid w:val="005A4D0B"/>
    <w:rsid w:val="00616DCD"/>
    <w:rsid w:val="00647B27"/>
    <w:rsid w:val="0067461B"/>
    <w:rsid w:val="006942BA"/>
    <w:rsid w:val="006B5EC3"/>
    <w:rsid w:val="006C08FF"/>
    <w:rsid w:val="007242DF"/>
    <w:rsid w:val="008919D4"/>
    <w:rsid w:val="008A1358"/>
    <w:rsid w:val="008D2AB9"/>
    <w:rsid w:val="008D37B6"/>
    <w:rsid w:val="009A03B0"/>
    <w:rsid w:val="00A5431F"/>
    <w:rsid w:val="00A64391"/>
    <w:rsid w:val="00AB0134"/>
    <w:rsid w:val="00B131C3"/>
    <w:rsid w:val="00C03D29"/>
    <w:rsid w:val="00C55000"/>
    <w:rsid w:val="00C91AD2"/>
    <w:rsid w:val="00D1586D"/>
    <w:rsid w:val="00D1744A"/>
    <w:rsid w:val="00E81E6E"/>
    <w:rsid w:val="00F07F67"/>
    <w:rsid w:val="00F660FC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7CB"/>
  <w15:chartTrackingRefBased/>
  <w15:docId w15:val="{B12BCA4D-568A-C647-A62B-2422C65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2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D37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7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26">
    <w:name w:val="Font Style326"/>
    <w:uiPriority w:val="99"/>
    <w:rsid w:val="007242DF"/>
    <w:rPr>
      <w:rFonts w:ascii="Times New Roman" w:hAnsi="Times New Roman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,body text,contents"/>
    <w:basedOn w:val="a"/>
    <w:link w:val="2"/>
    <w:rsid w:val="007242DF"/>
    <w:pPr>
      <w:suppressAutoHyphens/>
      <w:overflowPunct/>
      <w:autoSpaceDE/>
      <w:autoSpaceDN/>
      <w:adjustRightInd/>
      <w:spacing w:line="240" w:lineRule="auto"/>
      <w:ind w:left="0" w:right="0" w:firstLine="0"/>
      <w:jc w:val="center"/>
      <w:textAlignment w:val="auto"/>
    </w:pPr>
    <w:rPr>
      <w:rFonts w:eastAsia="Calibri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724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Знак2"/>
    <w:aliases w:val="Основной текст1 Знак1,Основной текст Знак Знак Знак1,bt Знак1,body text Знак1,contents Знак1"/>
    <w:link w:val="a7"/>
    <w:rsid w:val="007242DF"/>
    <w:rPr>
      <w:rFonts w:ascii="Times New Roman" w:eastAsia="Calibri" w:hAnsi="Times New Roman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Шадрин Максим Сергеевич</cp:lastModifiedBy>
  <cp:revision>34</cp:revision>
  <dcterms:created xsi:type="dcterms:W3CDTF">2021-03-13T14:49:00Z</dcterms:created>
  <dcterms:modified xsi:type="dcterms:W3CDTF">2022-03-18T12:08:00Z</dcterms:modified>
</cp:coreProperties>
</file>