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08" w:rsidRPr="00A8762A" w:rsidRDefault="00AE471E" w:rsidP="00323308">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24"/>
          <w:szCs w:val="24"/>
        </w:rPr>
      </w:pPr>
      <w:r w:rsidRPr="00A8762A">
        <w:rPr>
          <w:rFonts w:ascii="Times New Roman" w:eastAsia="Times New Roman" w:hAnsi="Times New Roman" w:cs="Times New Roman"/>
          <w:sz w:val="24"/>
          <w:szCs w:val="24"/>
        </w:rPr>
        <w:t xml:space="preserve">Приложение </w:t>
      </w:r>
      <w:r w:rsidR="00B40770" w:rsidRPr="00A8762A">
        <w:rPr>
          <w:rFonts w:ascii="Times New Roman" w:eastAsia="Times New Roman" w:hAnsi="Times New Roman" w:cs="Times New Roman"/>
          <w:sz w:val="24"/>
          <w:szCs w:val="24"/>
        </w:rPr>
        <w:t xml:space="preserve">№ </w:t>
      </w:r>
      <w:r w:rsidR="00323308" w:rsidRPr="00A8762A">
        <w:rPr>
          <w:rFonts w:ascii="Times New Roman" w:eastAsia="Times New Roman" w:hAnsi="Times New Roman" w:cs="Times New Roman"/>
          <w:sz w:val="24"/>
          <w:szCs w:val="24"/>
        </w:rPr>
        <w:t>3</w:t>
      </w:r>
      <w:r w:rsidR="00B40770" w:rsidRPr="00A8762A">
        <w:rPr>
          <w:rFonts w:ascii="Times New Roman" w:eastAsia="Times New Roman" w:hAnsi="Times New Roman" w:cs="Times New Roman"/>
          <w:sz w:val="24"/>
          <w:szCs w:val="24"/>
        </w:rPr>
        <w:t xml:space="preserve"> </w:t>
      </w:r>
    </w:p>
    <w:p w:rsidR="002C7990" w:rsidRPr="00A8762A" w:rsidRDefault="00B40770" w:rsidP="00323308">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24"/>
          <w:szCs w:val="24"/>
        </w:rPr>
      </w:pPr>
      <w:r w:rsidRPr="00A8762A">
        <w:rPr>
          <w:rFonts w:ascii="Times New Roman" w:eastAsia="Times New Roman" w:hAnsi="Times New Roman" w:cs="Times New Roman"/>
          <w:sz w:val="24"/>
          <w:szCs w:val="24"/>
        </w:rPr>
        <w:t>к</w:t>
      </w:r>
      <w:r w:rsidR="002F19EC" w:rsidRPr="00A8762A">
        <w:rPr>
          <w:rFonts w:ascii="Times New Roman" w:eastAsia="Times New Roman" w:hAnsi="Times New Roman" w:cs="Times New Roman"/>
          <w:sz w:val="24"/>
          <w:szCs w:val="24"/>
        </w:rPr>
        <w:t xml:space="preserve"> </w:t>
      </w:r>
      <w:r w:rsidR="00323308" w:rsidRPr="00A8762A">
        <w:rPr>
          <w:rFonts w:ascii="Times New Roman" w:eastAsia="Times New Roman" w:hAnsi="Times New Roman" w:cs="Times New Roman"/>
          <w:sz w:val="24"/>
          <w:szCs w:val="24"/>
        </w:rPr>
        <w:t>Заключению</w:t>
      </w:r>
    </w:p>
    <w:p w:rsidR="00244DE9" w:rsidRPr="00A8762A" w:rsidRDefault="00244DE9" w:rsidP="00D46ED8">
      <w:pPr>
        <w:widowControl w:val="0"/>
        <w:overflowPunct w:val="0"/>
        <w:autoSpaceDE w:val="0"/>
        <w:autoSpaceDN w:val="0"/>
        <w:adjustRightInd w:val="0"/>
        <w:spacing w:after="0" w:line="288" w:lineRule="auto"/>
        <w:ind w:firstLine="709"/>
        <w:jc w:val="center"/>
        <w:textAlignment w:val="baseline"/>
        <w:rPr>
          <w:rFonts w:ascii="Times New Roman" w:eastAsia="Times New Roman" w:hAnsi="Times New Roman" w:cs="Times New Roman"/>
          <w:b/>
          <w:sz w:val="24"/>
          <w:szCs w:val="24"/>
        </w:rPr>
      </w:pPr>
    </w:p>
    <w:p w:rsidR="005B7407" w:rsidRPr="00A8762A" w:rsidRDefault="005B7407" w:rsidP="00323308">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r w:rsidRPr="00A8762A">
        <w:rPr>
          <w:rFonts w:ascii="Times New Roman" w:eastAsia="Times New Roman" w:hAnsi="Times New Roman" w:cs="Times New Roman"/>
          <w:b/>
          <w:sz w:val="24"/>
          <w:szCs w:val="24"/>
        </w:rPr>
        <w:t>1. Факторы, повлиявшие на увеличение (уменьшение) поступлений аналогичны факторам выполнения (невыполнения) прогноза поступлений, учтенного в Федеральном законе № 38</w:t>
      </w:r>
      <w:r w:rsidR="00A8762A" w:rsidRPr="00A8762A">
        <w:rPr>
          <w:rFonts w:ascii="Times New Roman" w:eastAsia="Times New Roman" w:hAnsi="Times New Roman" w:cs="Times New Roman"/>
          <w:b/>
          <w:sz w:val="24"/>
          <w:szCs w:val="24"/>
        </w:rPr>
        <w:t>5</w:t>
      </w:r>
      <w:r w:rsidRPr="00A8762A">
        <w:rPr>
          <w:rFonts w:ascii="Times New Roman" w:eastAsia="Times New Roman" w:hAnsi="Times New Roman" w:cs="Times New Roman"/>
          <w:b/>
          <w:sz w:val="24"/>
          <w:szCs w:val="24"/>
        </w:rPr>
        <w:t>-ФЗ (с изменениями).</w:t>
      </w:r>
    </w:p>
    <w:tbl>
      <w:tblPr>
        <w:tblStyle w:val="ae"/>
        <w:tblW w:w="9464" w:type="dxa"/>
        <w:tblLook w:val="04A0" w:firstRow="1" w:lastRow="0" w:firstColumn="1" w:lastColumn="0" w:noHBand="0" w:noVBand="1"/>
      </w:tblPr>
      <w:tblGrid>
        <w:gridCol w:w="1809"/>
        <w:gridCol w:w="7655"/>
      </w:tblGrid>
      <w:tr w:rsidR="00A8762A" w:rsidRPr="00A8762A" w:rsidTr="00D81073">
        <w:tc>
          <w:tcPr>
            <w:tcW w:w="1809" w:type="dxa"/>
            <w:vMerge w:val="restart"/>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r w:rsidRPr="00A8762A">
              <w:rPr>
                <w:rFonts w:ascii="Times New Roman" w:eastAsia="Times New Roman" w:hAnsi="Times New Roman" w:cs="Times New Roman"/>
                <w:sz w:val="20"/>
                <w:szCs w:val="20"/>
              </w:rPr>
              <w:t>Перевыполнение уточненных показателей</w:t>
            </w: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proofErr w:type="gramStart"/>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доходам от управления средствами Фонда национального благосостояния (на 45 522,4 млн. рублей) в связи с перечислением ПАО «Сбербанк» дивидендов по обыкновенным акциям в сумме большей, чем прогнозировалось при формировании проекта федерального закона (по решению общего собрания акционеров), а также поступлением в январе, июле, сентябре и декабре 2021 года дивидендов по привилегированным акциям АО</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w:t>
            </w:r>
            <w:proofErr w:type="spellStart"/>
            <w:r w:rsidRPr="00A8762A">
              <w:rPr>
                <w:rFonts w:ascii="Times New Roman" w:eastAsia="Times New Roman" w:hAnsi="Times New Roman" w:cs="Times New Roman"/>
                <w:iCs/>
                <w:sz w:val="20"/>
                <w:szCs w:val="20"/>
              </w:rPr>
              <w:t>Атомэнергопром</w:t>
            </w:r>
            <w:proofErr w:type="spellEnd"/>
            <w:r w:rsidRPr="00A8762A">
              <w:rPr>
                <w:rFonts w:ascii="Times New Roman" w:eastAsia="Times New Roman" w:hAnsi="Times New Roman" w:cs="Times New Roman"/>
                <w:iCs/>
                <w:sz w:val="20"/>
                <w:szCs w:val="20"/>
              </w:rPr>
              <w:t>» (не прогнозировались при формировании проекта</w:t>
            </w:r>
            <w:proofErr w:type="gramEnd"/>
            <w:r w:rsidRPr="00A8762A">
              <w:rPr>
                <w:rFonts w:ascii="Times New Roman" w:eastAsia="Times New Roman" w:hAnsi="Times New Roman" w:cs="Times New Roman"/>
                <w:iCs/>
                <w:sz w:val="20"/>
                <w:szCs w:val="20"/>
              </w:rPr>
              <w:t xml:space="preserve"> федерального закона)</w:t>
            </w:r>
            <w:r>
              <w:rPr>
                <w:rFonts w:ascii="Times New Roman" w:eastAsia="Times New Roman" w:hAnsi="Times New Roman" w:cs="Times New Roman"/>
                <w:iCs/>
                <w:sz w:val="20"/>
                <w:szCs w:val="20"/>
              </w:rPr>
              <w:t>.</w:t>
            </w:r>
          </w:p>
        </w:tc>
      </w:tr>
      <w:tr w:rsidR="00A8762A" w:rsidRPr="00A8762A" w:rsidTr="00D81073">
        <w:tc>
          <w:tcPr>
            <w:tcW w:w="1809" w:type="dxa"/>
            <w:vMerge/>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прочим поступлениям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(на 9 751,4</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 xml:space="preserve">млн. рублей) в связи с поступлением процентов по субординированному кредиту ПАО «Сбербанк», права </w:t>
            </w:r>
            <w:proofErr w:type="gramStart"/>
            <w:r w:rsidRPr="00A8762A">
              <w:rPr>
                <w:rFonts w:ascii="Times New Roman" w:eastAsia="Times New Roman" w:hAnsi="Times New Roman" w:cs="Times New Roman"/>
                <w:iCs/>
                <w:sz w:val="20"/>
                <w:szCs w:val="20"/>
              </w:rPr>
              <w:t>требований</w:t>
            </w:r>
            <w:proofErr w:type="gramEnd"/>
            <w:r w:rsidRPr="00A8762A">
              <w:rPr>
                <w:rFonts w:ascii="Times New Roman" w:eastAsia="Times New Roman" w:hAnsi="Times New Roman" w:cs="Times New Roman"/>
                <w:iCs/>
                <w:sz w:val="20"/>
                <w:szCs w:val="20"/>
              </w:rPr>
              <w:t xml:space="preserve"> по которому в сумме 150,0</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млрд. рублей приняты Минфином России в казну Российской Федерации в 2020</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году (не прогнозировалось в связи с правом ПАО «Сбербанк», обусловленным характером данного финансового инструмента, приостановить выплату процентов в случаях, установленных нормативными актами Банка России, а также отказаться от выплаты указанных процентов в одностороннем порядке)</w:t>
            </w:r>
            <w:r>
              <w:rPr>
                <w:rFonts w:ascii="Times New Roman" w:eastAsia="Times New Roman" w:hAnsi="Times New Roman" w:cs="Times New Roman"/>
                <w:iCs/>
                <w:sz w:val="20"/>
                <w:szCs w:val="20"/>
              </w:rPr>
              <w:t>.</w:t>
            </w:r>
          </w:p>
        </w:tc>
      </w:tr>
      <w:tr w:rsidR="00A8762A" w:rsidRPr="00A8762A" w:rsidTr="00D81073">
        <w:tc>
          <w:tcPr>
            <w:tcW w:w="1809" w:type="dxa"/>
            <w:vMerge/>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proofErr w:type="gramStart"/>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прочим безвозмездным поступлениям в федеральный бюджет (на 4 353,6</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млн. рублей) в связи с перечислением согласно распоряжению Правительства Российской Федерации от 7 августа 2021</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г. №</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2179-р передаваемых ГК «Агентство по страхованию вкладов» (далее – ГК</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«АСВ») средств имущественного взноса Банка России, внесенного Банком России в имущество ГК</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«АСВ» на основании части девятой статьи 8 Федерального закона от 10 июля 2002</w:t>
            </w:r>
            <w:proofErr w:type="gramEnd"/>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г. №</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86-ФЗ «О Центральном банке Российской Федерации (Банке России)»</w:t>
            </w:r>
            <w:r>
              <w:rPr>
                <w:rFonts w:ascii="Times New Roman" w:eastAsia="Times New Roman" w:hAnsi="Times New Roman" w:cs="Times New Roman"/>
                <w:iCs/>
                <w:sz w:val="20"/>
                <w:szCs w:val="20"/>
              </w:rPr>
              <w:t>.</w:t>
            </w:r>
            <w:r w:rsidRPr="00A8762A">
              <w:rPr>
                <w:rFonts w:ascii="Times New Roman" w:eastAsia="Times New Roman" w:hAnsi="Times New Roman" w:cs="Times New Roman"/>
                <w:iCs/>
                <w:sz w:val="20"/>
                <w:szCs w:val="20"/>
              </w:rPr>
              <w:t xml:space="preserve"> </w:t>
            </w:r>
          </w:p>
        </w:tc>
      </w:tr>
      <w:tr w:rsidR="00A8762A" w:rsidRPr="00A8762A" w:rsidTr="00D81073">
        <w:tc>
          <w:tcPr>
            <w:tcW w:w="1809" w:type="dxa"/>
            <w:vMerge/>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proofErr w:type="gramStart"/>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 xml:space="preserve">о доходам федерального бюджета от возврата остатков межбюджетных трансфертов на финансовое обеспечение отдельных </w:t>
            </w:r>
            <w:proofErr w:type="spellStart"/>
            <w:r w:rsidRPr="00A8762A">
              <w:rPr>
                <w:rFonts w:ascii="Times New Roman" w:eastAsia="Times New Roman" w:hAnsi="Times New Roman" w:cs="Times New Roman"/>
                <w:iCs/>
                <w:sz w:val="20"/>
                <w:szCs w:val="20"/>
              </w:rPr>
              <w:t>нестраховых</w:t>
            </w:r>
            <w:proofErr w:type="spellEnd"/>
            <w:r w:rsidRPr="00A8762A">
              <w:rPr>
                <w:rFonts w:ascii="Times New Roman" w:eastAsia="Times New Roman" w:hAnsi="Times New Roman" w:cs="Times New Roman"/>
                <w:iCs/>
                <w:sz w:val="20"/>
                <w:szCs w:val="20"/>
              </w:rPr>
              <w:t xml:space="preserve"> расходов из бюджета Федерального фонда обязательного медицинского страхования (на 3 028,6</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млн. рублей) в связи с возвратом неиспользованного по состоянию на 1 января 2021</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 xml:space="preserve">года остатка межбюджетного трансферта, предоставленного в 2020 году бюджету Федерального Фонда обязательного медицинского страхования из федерального бюджета на финансовое обеспечение отдельных </w:t>
            </w:r>
            <w:proofErr w:type="spellStart"/>
            <w:r w:rsidRPr="00A8762A">
              <w:rPr>
                <w:rFonts w:ascii="Times New Roman" w:eastAsia="Times New Roman" w:hAnsi="Times New Roman" w:cs="Times New Roman"/>
                <w:iCs/>
                <w:sz w:val="20"/>
                <w:szCs w:val="20"/>
              </w:rPr>
              <w:t>нестраховых</w:t>
            </w:r>
            <w:proofErr w:type="spellEnd"/>
            <w:proofErr w:type="gramEnd"/>
            <w:r w:rsidRPr="00A8762A">
              <w:rPr>
                <w:rFonts w:ascii="Times New Roman" w:eastAsia="Times New Roman" w:hAnsi="Times New Roman" w:cs="Times New Roman"/>
                <w:iCs/>
                <w:sz w:val="20"/>
                <w:szCs w:val="20"/>
              </w:rPr>
              <w:t xml:space="preserve"> расходов в связи с наличием невостребованных средств Федеральным фондом социального страхования Российской Федерации на оплату родовых сертификатов</w:t>
            </w:r>
            <w:r>
              <w:rPr>
                <w:rFonts w:ascii="Times New Roman" w:eastAsia="Times New Roman" w:hAnsi="Times New Roman" w:cs="Times New Roman"/>
                <w:iCs/>
                <w:sz w:val="20"/>
                <w:szCs w:val="20"/>
              </w:rPr>
              <w:t>.</w:t>
            </w:r>
          </w:p>
        </w:tc>
      </w:tr>
      <w:tr w:rsidR="00A8762A" w:rsidRPr="00A8762A" w:rsidTr="00D81073">
        <w:tc>
          <w:tcPr>
            <w:tcW w:w="1809" w:type="dxa"/>
            <w:vMerge/>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proofErr w:type="gramStart"/>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доходам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(на 2 022,9</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млн. рублей) в связи с возвратом неиспользованных дотаций на поддержку мер по обеспечению сбалансированности, предоставленных бюджетам субъектов Российской Федерации на финансовое обеспечение мероприятий по борьбе с COVID-19, неиспользованных дотаций (грантов), предоставленных субъектам Российской</w:t>
            </w:r>
            <w:proofErr w:type="gramEnd"/>
            <w:r w:rsidRPr="00A8762A">
              <w:rPr>
                <w:rFonts w:ascii="Times New Roman" w:eastAsia="Times New Roman" w:hAnsi="Times New Roman" w:cs="Times New Roman"/>
                <w:iCs/>
                <w:sz w:val="20"/>
                <w:szCs w:val="20"/>
              </w:rPr>
              <w:t xml:space="preserve"> </w:t>
            </w:r>
            <w:proofErr w:type="gramStart"/>
            <w:r w:rsidRPr="00A8762A">
              <w:rPr>
                <w:rFonts w:ascii="Times New Roman" w:eastAsia="Times New Roman" w:hAnsi="Times New Roman" w:cs="Times New Roman"/>
                <w:iCs/>
                <w:sz w:val="20"/>
                <w:szCs w:val="20"/>
              </w:rPr>
              <w:t>Федерации за достижение показателей деятельности органов исполнительной власти субъектов Российской Федерации, а также возвратом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 а также взысканных в федеральный бюджет в соответствии с решениями Министерства).</w:t>
            </w:r>
            <w:proofErr w:type="gramEnd"/>
          </w:p>
        </w:tc>
      </w:tr>
      <w:tr w:rsidR="00A8762A" w:rsidRPr="00A8762A" w:rsidTr="00D81073">
        <w:tc>
          <w:tcPr>
            <w:tcW w:w="1809" w:type="dxa"/>
            <w:vMerge w:val="restart"/>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r w:rsidRPr="00A8762A">
              <w:rPr>
                <w:rFonts w:ascii="Times New Roman" w:eastAsia="Times New Roman" w:hAnsi="Times New Roman" w:cs="Times New Roman"/>
                <w:sz w:val="20"/>
                <w:szCs w:val="20"/>
              </w:rPr>
              <w:t>Невыполнение уточненных показателей</w:t>
            </w: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поступлению процентов по государственным кредитам, предоставленным Российской Федерацией правительствам иностранных государств, их юридическим лицам (на 16 862,0</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млн. рублей) в связи с отсутствием посту</w:t>
            </w:r>
            <w:r>
              <w:rPr>
                <w:rFonts w:ascii="Times New Roman" w:eastAsia="Times New Roman" w:hAnsi="Times New Roman" w:cs="Times New Roman"/>
                <w:iCs/>
                <w:sz w:val="20"/>
                <w:szCs w:val="20"/>
              </w:rPr>
              <w:t>плений от иностранных заемщиков.</w:t>
            </w:r>
          </w:p>
        </w:tc>
      </w:tr>
      <w:tr w:rsidR="00A8762A" w:rsidRPr="00A8762A" w:rsidTr="00D81073">
        <w:tc>
          <w:tcPr>
            <w:tcW w:w="1809" w:type="dxa"/>
            <w:vMerge/>
            <w:vAlign w:val="center"/>
          </w:tcPr>
          <w:p w:rsidR="00D81073" w:rsidRPr="00A8762A" w:rsidRDefault="00D81073" w:rsidP="00D81073">
            <w:pPr>
              <w:widowControl w:val="0"/>
              <w:overflowPunct w:val="0"/>
              <w:autoSpaceDE w:val="0"/>
              <w:autoSpaceDN w:val="0"/>
              <w:adjustRightInd w:val="0"/>
              <w:jc w:val="center"/>
              <w:textAlignment w:val="baseline"/>
              <w:rPr>
                <w:rFonts w:ascii="Times New Roman" w:eastAsia="Times New Roman" w:hAnsi="Times New Roman" w:cs="Times New Roman"/>
                <w:sz w:val="20"/>
                <w:szCs w:val="20"/>
              </w:rPr>
            </w:pPr>
          </w:p>
        </w:tc>
        <w:tc>
          <w:tcPr>
            <w:tcW w:w="7655" w:type="dxa"/>
          </w:tcPr>
          <w:p w:rsidR="00D81073" w:rsidRPr="00A8762A" w:rsidRDefault="00A8762A" w:rsidP="00A8762A">
            <w:pPr>
              <w:widowControl w:val="0"/>
              <w:overflowPunct w:val="0"/>
              <w:autoSpaceDE w:val="0"/>
              <w:autoSpaceDN w:val="0"/>
              <w:adjustRightInd w:val="0"/>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iCs/>
                <w:sz w:val="20"/>
                <w:szCs w:val="20"/>
              </w:rPr>
              <w:t>П</w:t>
            </w:r>
            <w:r w:rsidRPr="00A8762A">
              <w:rPr>
                <w:rFonts w:ascii="Times New Roman" w:eastAsia="Times New Roman" w:hAnsi="Times New Roman" w:cs="Times New Roman"/>
                <w:iCs/>
                <w:sz w:val="20"/>
                <w:szCs w:val="20"/>
              </w:rPr>
              <w:t>о прочим неналоговым доходам федерального бюджета (на 16 445,1</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млн. рублей) в связи с поступлением дивидендов в объеме меньше прогнозируемого по акциям банков, приобретенных ГК</w:t>
            </w:r>
            <w:r w:rsidRPr="00A8762A">
              <w:rPr>
                <w:rFonts w:ascii="Times New Roman" w:eastAsia="Times New Roman" w:hAnsi="Times New Roman" w:cs="Times New Roman"/>
                <w:iCs/>
                <w:sz w:val="20"/>
                <w:szCs w:val="20"/>
                <w:lang w:val="en-US"/>
              </w:rPr>
              <w:t> </w:t>
            </w:r>
            <w:r w:rsidRPr="00A8762A">
              <w:rPr>
                <w:rFonts w:ascii="Times New Roman" w:eastAsia="Times New Roman" w:hAnsi="Times New Roman" w:cs="Times New Roman"/>
                <w:iCs/>
                <w:sz w:val="20"/>
                <w:szCs w:val="20"/>
              </w:rPr>
              <w:t>«АСВ» за счет имущественного взноса Российской Федерации.</w:t>
            </w:r>
          </w:p>
        </w:tc>
      </w:tr>
    </w:tbl>
    <w:p w:rsidR="007B5EDE" w:rsidRPr="00A8762A" w:rsidRDefault="005B7407" w:rsidP="0022210E">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r w:rsidRPr="00A8762A">
        <w:rPr>
          <w:rFonts w:ascii="Times New Roman" w:eastAsia="Times New Roman" w:hAnsi="Times New Roman" w:cs="Times New Roman"/>
          <w:b/>
          <w:sz w:val="24"/>
          <w:szCs w:val="24"/>
        </w:rPr>
        <w:lastRenderedPageBreak/>
        <w:t>2</w:t>
      </w:r>
      <w:r w:rsidR="007B5EDE" w:rsidRPr="00A8762A">
        <w:rPr>
          <w:rFonts w:ascii="Times New Roman" w:eastAsia="Times New Roman" w:hAnsi="Times New Roman" w:cs="Times New Roman"/>
          <w:b/>
          <w:sz w:val="24"/>
          <w:szCs w:val="24"/>
        </w:rPr>
        <w:t>. Анализ прогнозирования и исполнения федерального бюджета за 202</w:t>
      </w:r>
      <w:r w:rsidR="00A8762A" w:rsidRPr="00A8762A">
        <w:rPr>
          <w:rFonts w:ascii="Times New Roman" w:eastAsia="Times New Roman" w:hAnsi="Times New Roman" w:cs="Times New Roman"/>
          <w:b/>
          <w:sz w:val="24"/>
          <w:szCs w:val="24"/>
        </w:rPr>
        <w:t>1</w:t>
      </w:r>
      <w:r w:rsidR="007B5EDE" w:rsidRPr="00A8762A">
        <w:rPr>
          <w:rFonts w:ascii="Times New Roman" w:eastAsia="Times New Roman" w:hAnsi="Times New Roman" w:cs="Times New Roman"/>
          <w:b/>
          <w:sz w:val="24"/>
          <w:szCs w:val="24"/>
        </w:rPr>
        <w:t xml:space="preserve"> год в разрезе отдельных доходов федерального бюджета, администрируемых Минфином России.</w:t>
      </w:r>
    </w:p>
    <w:tbl>
      <w:tblPr>
        <w:tblStyle w:val="ae"/>
        <w:tblW w:w="10031" w:type="dxa"/>
        <w:tblInd w:w="-318" w:type="dxa"/>
        <w:tblLayout w:type="fixed"/>
        <w:tblLook w:val="04A0" w:firstRow="1" w:lastRow="0" w:firstColumn="1" w:lastColumn="0" w:noHBand="0" w:noVBand="1"/>
      </w:tblPr>
      <w:tblGrid>
        <w:gridCol w:w="3056"/>
        <w:gridCol w:w="6975"/>
      </w:tblGrid>
      <w:tr w:rsidR="000B180A" w:rsidRPr="000B180A" w:rsidTr="00D50EE7">
        <w:trPr>
          <w:tblHeader/>
        </w:trPr>
        <w:tc>
          <w:tcPr>
            <w:tcW w:w="3056" w:type="dxa"/>
            <w:vAlign w:val="center"/>
          </w:tcPr>
          <w:p w:rsidR="007A6834" w:rsidRPr="00A8762A" w:rsidRDefault="007A6834" w:rsidP="006066BF">
            <w:pPr>
              <w:jc w:val="center"/>
              <w:rPr>
                <w:rFonts w:ascii="Times New Roman" w:hAnsi="Times New Roman" w:cs="Times New Roman"/>
                <w:b/>
                <w:sz w:val="20"/>
                <w:szCs w:val="20"/>
              </w:rPr>
            </w:pPr>
            <w:r w:rsidRPr="00A8762A">
              <w:rPr>
                <w:rFonts w:ascii="Times New Roman" w:hAnsi="Times New Roman" w:cs="Times New Roman"/>
                <w:b/>
                <w:sz w:val="20"/>
                <w:szCs w:val="20"/>
              </w:rPr>
              <w:t>Наименование кода бюджетной классификации</w:t>
            </w:r>
          </w:p>
        </w:tc>
        <w:tc>
          <w:tcPr>
            <w:tcW w:w="6975" w:type="dxa"/>
            <w:vAlign w:val="center"/>
          </w:tcPr>
          <w:p w:rsidR="007A6834" w:rsidRPr="00A8762A" w:rsidRDefault="007A6834" w:rsidP="00A94041">
            <w:pPr>
              <w:jc w:val="center"/>
              <w:rPr>
                <w:rFonts w:ascii="Times New Roman" w:hAnsi="Times New Roman" w:cs="Times New Roman"/>
                <w:b/>
                <w:sz w:val="20"/>
                <w:szCs w:val="20"/>
              </w:rPr>
            </w:pPr>
            <w:r w:rsidRPr="00A8762A">
              <w:rPr>
                <w:rFonts w:ascii="Times New Roman" w:hAnsi="Times New Roman" w:cs="Times New Roman"/>
                <w:b/>
                <w:sz w:val="20"/>
                <w:szCs w:val="20"/>
              </w:rPr>
              <w:t>Анализ прогнозирования и исполнения федерального бюджета за 202</w:t>
            </w:r>
            <w:r w:rsidR="00A94041">
              <w:rPr>
                <w:rFonts w:ascii="Times New Roman" w:hAnsi="Times New Roman" w:cs="Times New Roman"/>
                <w:b/>
                <w:sz w:val="20"/>
                <w:szCs w:val="20"/>
              </w:rPr>
              <w:t>1</w:t>
            </w:r>
            <w:r w:rsidRPr="00A8762A">
              <w:rPr>
                <w:rFonts w:ascii="Times New Roman" w:hAnsi="Times New Roman" w:cs="Times New Roman"/>
                <w:b/>
                <w:sz w:val="20"/>
                <w:szCs w:val="20"/>
              </w:rPr>
              <w:t xml:space="preserve"> год</w:t>
            </w:r>
          </w:p>
        </w:tc>
      </w:tr>
      <w:tr w:rsidR="000B180A" w:rsidRPr="000B180A" w:rsidTr="00D50EE7">
        <w:trPr>
          <w:tblHeader/>
        </w:trPr>
        <w:tc>
          <w:tcPr>
            <w:tcW w:w="3056" w:type="dxa"/>
            <w:vAlign w:val="center"/>
          </w:tcPr>
          <w:p w:rsidR="007A6834" w:rsidRPr="00A8762A" w:rsidRDefault="007A6834" w:rsidP="006066BF">
            <w:pPr>
              <w:jc w:val="center"/>
              <w:rPr>
                <w:rFonts w:ascii="Times New Roman" w:hAnsi="Times New Roman" w:cs="Times New Roman"/>
                <w:sz w:val="16"/>
                <w:szCs w:val="16"/>
              </w:rPr>
            </w:pPr>
            <w:r w:rsidRPr="00A8762A">
              <w:rPr>
                <w:rFonts w:ascii="Times New Roman" w:hAnsi="Times New Roman" w:cs="Times New Roman"/>
                <w:sz w:val="16"/>
                <w:szCs w:val="16"/>
              </w:rPr>
              <w:t>1</w:t>
            </w:r>
          </w:p>
        </w:tc>
        <w:tc>
          <w:tcPr>
            <w:tcW w:w="6975" w:type="dxa"/>
            <w:vAlign w:val="center"/>
          </w:tcPr>
          <w:p w:rsidR="007A6834" w:rsidRPr="00A8762A" w:rsidRDefault="007A6834" w:rsidP="006066BF">
            <w:pPr>
              <w:jc w:val="center"/>
              <w:rPr>
                <w:rFonts w:ascii="Times New Roman" w:hAnsi="Times New Roman" w:cs="Times New Roman"/>
                <w:sz w:val="16"/>
                <w:szCs w:val="16"/>
              </w:rPr>
            </w:pPr>
            <w:r w:rsidRPr="00A8762A">
              <w:rPr>
                <w:rFonts w:ascii="Times New Roman" w:hAnsi="Times New Roman" w:cs="Times New Roman"/>
                <w:sz w:val="16"/>
                <w:szCs w:val="16"/>
              </w:rPr>
              <w:t>2</w:t>
            </w:r>
          </w:p>
        </w:tc>
      </w:tr>
      <w:tr w:rsidR="00A94041" w:rsidRPr="00A94041" w:rsidTr="00D50EE7">
        <w:tc>
          <w:tcPr>
            <w:tcW w:w="3056" w:type="dxa"/>
            <w:vAlign w:val="center"/>
          </w:tcPr>
          <w:p w:rsidR="00A94041" w:rsidRPr="00A94041" w:rsidRDefault="00A94041" w:rsidP="00A94041">
            <w:pPr>
              <w:widowControl w:val="0"/>
              <w:overflowPunct w:val="0"/>
              <w:autoSpaceDE w:val="0"/>
              <w:autoSpaceDN w:val="0"/>
              <w:adjustRightInd w:val="0"/>
              <w:jc w:val="both"/>
              <w:textAlignment w:val="baseline"/>
              <w:rPr>
                <w:rFonts w:ascii="Times New Roman" w:hAnsi="Times New Roman" w:cs="Times New Roman"/>
                <w:b/>
                <w:iCs/>
                <w:sz w:val="19"/>
                <w:szCs w:val="19"/>
              </w:rPr>
            </w:pPr>
            <w:r w:rsidRPr="00A94041">
              <w:rPr>
                <w:rFonts w:ascii="Times New Roman" w:hAnsi="Times New Roman" w:cs="Times New Roman"/>
                <w:b/>
                <w:iCs/>
                <w:sz w:val="19"/>
                <w:szCs w:val="19"/>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зачисляемой в федеральный бюджет</w:t>
            </w:r>
          </w:p>
          <w:p w:rsidR="009D23E0" w:rsidRPr="00A94041" w:rsidRDefault="00A94041" w:rsidP="00A94041">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A94041">
              <w:rPr>
                <w:rFonts w:ascii="Times New Roman" w:hAnsi="Times New Roman" w:cs="Times New Roman"/>
                <w:iCs/>
                <w:sz w:val="19"/>
                <w:szCs w:val="19"/>
              </w:rPr>
              <w:t xml:space="preserve">(КБК 092 1 08 07081 01 0000 110) </w:t>
            </w:r>
          </w:p>
        </w:tc>
        <w:tc>
          <w:tcPr>
            <w:tcW w:w="6975" w:type="dxa"/>
          </w:tcPr>
          <w:p w:rsidR="00A94041" w:rsidRPr="004E7D95" w:rsidRDefault="00A94041" w:rsidP="00A94041">
            <w:pPr>
              <w:widowControl w:val="0"/>
              <w:overflowPunct w:val="0"/>
              <w:autoSpaceDE w:val="0"/>
              <w:autoSpaceDN w:val="0"/>
              <w:adjustRightInd w:val="0"/>
              <w:ind w:firstLine="318"/>
              <w:jc w:val="both"/>
              <w:textAlignment w:val="baseline"/>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Прогноз установлен в сумме 10,4 тыс. рублей. </w:t>
            </w:r>
          </w:p>
          <w:p w:rsidR="00A94041" w:rsidRPr="004E7D95" w:rsidRDefault="00A94041" w:rsidP="00A94041">
            <w:pPr>
              <w:widowControl w:val="0"/>
              <w:overflowPunct w:val="0"/>
              <w:autoSpaceDE w:val="0"/>
              <w:autoSpaceDN w:val="0"/>
              <w:adjustRightInd w:val="0"/>
              <w:ind w:firstLine="318"/>
              <w:jc w:val="both"/>
              <w:textAlignment w:val="baseline"/>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Прогнозирование указанного дохода учитывает зачисление госпошлины за выдачу дубликата квалификационного аттестата аудитора, подтверждающие уровень квалификации, в связи с его утерей.</w:t>
            </w:r>
          </w:p>
          <w:p w:rsidR="00A94041" w:rsidRPr="004E7D95" w:rsidRDefault="00A94041" w:rsidP="00A94041">
            <w:pPr>
              <w:widowControl w:val="0"/>
              <w:overflowPunct w:val="0"/>
              <w:autoSpaceDE w:val="0"/>
              <w:autoSpaceDN w:val="0"/>
              <w:adjustRightInd w:val="0"/>
              <w:ind w:firstLine="318"/>
              <w:jc w:val="both"/>
              <w:textAlignment w:val="baseline"/>
              <w:rPr>
                <w:rFonts w:ascii="Times New Roman" w:hAnsi="Times New Roman" w:cs="Times New Roman"/>
                <w:iCs/>
                <w:spacing w:val="-4"/>
                <w:sz w:val="19"/>
                <w:szCs w:val="19"/>
              </w:rPr>
            </w:pPr>
            <w:proofErr w:type="gramStart"/>
            <w:r w:rsidRPr="004E7D95">
              <w:rPr>
                <w:rFonts w:ascii="Times New Roman" w:hAnsi="Times New Roman" w:cs="Times New Roman"/>
                <w:iCs/>
                <w:spacing w:val="-4"/>
                <w:sz w:val="19"/>
                <w:szCs w:val="19"/>
              </w:rPr>
              <w:t>Поступления по указанному доходному источнику составили 1,3 тыс. рублей, что на 9,1 тыс. рублей, или в 8 раз меньше прогноза поступлений, учтенного в Федеральном законе № 385-ФЗ, что обусловлено вступлением в силу с 10 января 2021 года Федерального закона от 30 декабря 2020 г. № 498-ФЗ «О внесении изменений в Федеральный закон «Об аудиторской деятельности», которым установлено, что обмен квалификационных аттестатов аудитора</w:t>
            </w:r>
            <w:proofErr w:type="gramEnd"/>
            <w:r w:rsidRPr="004E7D95">
              <w:rPr>
                <w:rFonts w:ascii="Times New Roman" w:hAnsi="Times New Roman" w:cs="Times New Roman"/>
                <w:iCs/>
                <w:spacing w:val="-4"/>
                <w:sz w:val="19"/>
                <w:szCs w:val="19"/>
              </w:rPr>
              <w:t xml:space="preserve">, выданных Минфином России до 1 января 2011 года, в случаях утери (утраты) их, изменения фамилии, имени, отчества либо иных сведений, содержащихся в них, осуществляется саморегулируемыми организациями аудиторов. Таким образом, с 11 января 2021 года Минфином России прекращены оформление и выдача дубликатов квалификационных аттестатов аудитора, выданных Министерством до 1 января 2011 года. </w:t>
            </w:r>
          </w:p>
          <w:p w:rsidR="007A6834" w:rsidRPr="004E7D95" w:rsidRDefault="00A94041" w:rsidP="00A94041">
            <w:pPr>
              <w:widowControl w:val="0"/>
              <w:overflowPunct w:val="0"/>
              <w:autoSpaceDE w:val="0"/>
              <w:autoSpaceDN w:val="0"/>
              <w:adjustRightInd w:val="0"/>
              <w:ind w:firstLine="318"/>
              <w:jc w:val="both"/>
              <w:textAlignment w:val="baseline"/>
              <w:rPr>
                <w:rFonts w:ascii="Times New Roman" w:hAnsi="Times New Roman" w:cs="Times New Roman"/>
                <w:b/>
                <w:spacing w:val="-4"/>
                <w:sz w:val="19"/>
                <w:szCs w:val="19"/>
              </w:rPr>
            </w:pPr>
            <w:r w:rsidRPr="004E7D95">
              <w:rPr>
                <w:rFonts w:ascii="Times New Roman" w:hAnsi="Times New Roman" w:cs="Times New Roman"/>
                <w:iCs/>
                <w:spacing w:val="-4"/>
                <w:sz w:val="19"/>
                <w:szCs w:val="19"/>
              </w:rPr>
              <w:t xml:space="preserve">Вместе с тем поступило одно обращение от аудитора, ошибочно направленное после 11 января 2021 года. </w:t>
            </w:r>
          </w:p>
        </w:tc>
      </w:tr>
      <w:tr w:rsidR="004E7D95" w:rsidRPr="004E7D95" w:rsidTr="00D50EE7">
        <w:tc>
          <w:tcPr>
            <w:tcW w:w="3056" w:type="dxa"/>
            <w:vAlign w:val="center"/>
          </w:tcPr>
          <w:p w:rsidR="004E7D95" w:rsidRPr="004E7D95" w:rsidRDefault="004E7D95" w:rsidP="006066BF">
            <w:pPr>
              <w:widowControl w:val="0"/>
              <w:overflowPunct w:val="0"/>
              <w:autoSpaceDE w:val="0"/>
              <w:autoSpaceDN w:val="0"/>
              <w:adjustRightInd w:val="0"/>
              <w:jc w:val="both"/>
              <w:textAlignment w:val="baseline"/>
              <w:rPr>
                <w:rFonts w:ascii="Times New Roman" w:eastAsia="Times New Roman" w:hAnsi="Times New Roman" w:cs="Times New Roman"/>
                <w:b/>
                <w:iCs/>
                <w:sz w:val="19"/>
                <w:szCs w:val="19"/>
              </w:rPr>
            </w:pPr>
            <w:r>
              <w:rPr>
                <w:rFonts w:ascii="Times New Roman" w:eastAsia="Times New Roman" w:hAnsi="Times New Roman" w:cs="Times New Roman"/>
                <w:b/>
                <w:iCs/>
                <w:sz w:val="19"/>
                <w:szCs w:val="19"/>
              </w:rPr>
              <w:t>П</w:t>
            </w:r>
            <w:r w:rsidRPr="004E7D95">
              <w:rPr>
                <w:rFonts w:ascii="Times New Roman" w:eastAsia="Times New Roman" w:hAnsi="Times New Roman" w:cs="Times New Roman"/>
                <w:b/>
                <w:iCs/>
                <w:sz w:val="19"/>
                <w:szCs w:val="19"/>
              </w:rPr>
              <w:t>рочи</w:t>
            </w:r>
            <w:r>
              <w:rPr>
                <w:rFonts w:ascii="Times New Roman" w:eastAsia="Times New Roman" w:hAnsi="Times New Roman" w:cs="Times New Roman"/>
                <w:b/>
                <w:iCs/>
                <w:sz w:val="19"/>
                <w:szCs w:val="19"/>
              </w:rPr>
              <w:t>е</w:t>
            </w:r>
            <w:r w:rsidRPr="004E7D95">
              <w:rPr>
                <w:rFonts w:ascii="Times New Roman" w:eastAsia="Times New Roman" w:hAnsi="Times New Roman" w:cs="Times New Roman"/>
                <w:b/>
                <w:iCs/>
                <w:sz w:val="19"/>
                <w:szCs w:val="19"/>
              </w:rPr>
              <w:t xml:space="preserve"> поступлени</w:t>
            </w:r>
            <w:r>
              <w:rPr>
                <w:rFonts w:ascii="Times New Roman" w:eastAsia="Times New Roman" w:hAnsi="Times New Roman" w:cs="Times New Roman"/>
                <w:b/>
                <w:iCs/>
                <w:sz w:val="19"/>
                <w:szCs w:val="19"/>
              </w:rPr>
              <w:t>я</w:t>
            </w:r>
            <w:r w:rsidRPr="004E7D95">
              <w:rPr>
                <w:rFonts w:ascii="Times New Roman" w:eastAsia="Times New Roman" w:hAnsi="Times New Roman" w:cs="Times New Roman"/>
                <w:b/>
                <w:iCs/>
                <w:sz w:val="19"/>
                <w:szCs w:val="19"/>
              </w:rPr>
              <w:t xml:space="preserve"> от внешнеэкономической деятельности </w:t>
            </w:r>
          </w:p>
          <w:p w:rsidR="004E7D95" w:rsidRPr="004E7D95" w:rsidRDefault="004E7D95" w:rsidP="006066BF">
            <w:pPr>
              <w:widowControl w:val="0"/>
              <w:overflowPunct w:val="0"/>
              <w:autoSpaceDE w:val="0"/>
              <w:autoSpaceDN w:val="0"/>
              <w:adjustRightInd w:val="0"/>
              <w:jc w:val="both"/>
              <w:textAlignment w:val="baseline"/>
              <w:rPr>
                <w:rFonts w:ascii="Times New Roman" w:eastAsia="Times New Roman" w:hAnsi="Times New Roman" w:cs="Times New Roman"/>
                <w:sz w:val="19"/>
                <w:szCs w:val="19"/>
              </w:rPr>
            </w:pPr>
            <w:r w:rsidRPr="004E7D95">
              <w:rPr>
                <w:rFonts w:ascii="Times New Roman" w:eastAsia="Times New Roman" w:hAnsi="Times New Roman" w:cs="Times New Roman"/>
                <w:iCs/>
                <w:sz w:val="19"/>
                <w:szCs w:val="19"/>
              </w:rPr>
              <w:t xml:space="preserve">(КБК </w:t>
            </w:r>
            <w:r w:rsidRPr="004E7D95">
              <w:rPr>
                <w:rFonts w:ascii="Times New Roman" w:eastAsia="Times New Roman" w:hAnsi="Times New Roman" w:cs="Times New Roman"/>
                <w:sz w:val="19"/>
                <w:szCs w:val="19"/>
              </w:rPr>
              <w:t xml:space="preserve">092 </w:t>
            </w:r>
            <w:r w:rsidRPr="004E7D95">
              <w:rPr>
                <w:rFonts w:ascii="Times New Roman" w:eastAsia="Times New Roman" w:hAnsi="Times New Roman" w:cs="Times New Roman"/>
                <w:iCs/>
                <w:sz w:val="19"/>
                <w:szCs w:val="19"/>
              </w:rPr>
              <w:t>1 10 07000 01 0000 1</w:t>
            </w:r>
            <w:r w:rsidR="00BE3CE8">
              <w:rPr>
                <w:rFonts w:ascii="Times New Roman" w:eastAsia="Times New Roman" w:hAnsi="Times New Roman" w:cs="Times New Roman"/>
                <w:iCs/>
                <w:sz w:val="19"/>
                <w:szCs w:val="19"/>
              </w:rPr>
              <w:t>1</w:t>
            </w:r>
            <w:r w:rsidRPr="004E7D95">
              <w:rPr>
                <w:rFonts w:ascii="Times New Roman" w:eastAsia="Times New Roman" w:hAnsi="Times New Roman" w:cs="Times New Roman"/>
                <w:iCs/>
                <w:sz w:val="19"/>
                <w:szCs w:val="19"/>
              </w:rPr>
              <w:t>0)</w:t>
            </w:r>
          </w:p>
          <w:p w:rsidR="009D23E0" w:rsidRPr="004E7D95" w:rsidRDefault="009D23E0"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p>
        </w:tc>
        <w:tc>
          <w:tcPr>
            <w:tcW w:w="6975" w:type="dxa"/>
          </w:tcPr>
          <w:p w:rsidR="004E7D95" w:rsidRPr="004E7D95" w:rsidRDefault="004E7D95" w:rsidP="004E7D95">
            <w:pPr>
              <w:autoSpaceDE w:val="0"/>
              <w:autoSpaceDN w:val="0"/>
              <w:adjustRightInd w:val="0"/>
              <w:ind w:firstLine="318"/>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Прогноз установлен в сумме 344,2 тыс. рублей. По данному коду отражены поступления невозмещаемых комиссионных сборов с участников торгов по займам Международного банка реконструкции и развития (далее - МБРР), в соответствии с Соглашением о займах между Российской Федерации и МБРР. </w:t>
            </w:r>
          </w:p>
          <w:p w:rsidR="007A6834" w:rsidRPr="004E7D95" w:rsidRDefault="004E7D95" w:rsidP="004E7D95">
            <w:pPr>
              <w:autoSpaceDE w:val="0"/>
              <w:autoSpaceDN w:val="0"/>
              <w:adjustRightInd w:val="0"/>
              <w:ind w:firstLine="318"/>
              <w:jc w:val="both"/>
              <w:rPr>
                <w:rFonts w:ascii="Times New Roman" w:hAnsi="Times New Roman" w:cs="Times New Roman"/>
                <w:spacing w:val="-4"/>
                <w:sz w:val="19"/>
                <w:szCs w:val="19"/>
              </w:rPr>
            </w:pPr>
            <w:r w:rsidRPr="004E7D95">
              <w:rPr>
                <w:rFonts w:ascii="Times New Roman" w:hAnsi="Times New Roman" w:cs="Times New Roman"/>
                <w:iCs/>
                <w:spacing w:val="-4"/>
                <w:sz w:val="19"/>
                <w:szCs w:val="19"/>
              </w:rPr>
              <w:t>Поступления по указанному доходному источнику составили 332,5 тыс. рублей, что на 11,7 тыс. рублей, или на 3,4 % меньше прогноза поступлений, учтенного в Федеральном законе № 385-ФЗ, что обусловлено снижением поступлений от продажи тендерной документации, а также от иных результатов внешнеэкономической деятельности. Поступления в 2021 году снизились относительно 2020 года в 2 раза, что связано со снижением количества плательщиков.</w:t>
            </w:r>
          </w:p>
        </w:tc>
      </w:tr>
      <w:tr w:rsidR="004E7D95" w:rsidRPr="004E7D95" w:rsidTr="00D50EE7">
        <w:tc>
          <w:tcPr>
            <w:tcW w:w="3056" w:type="dxa"/>
            <w:vAlign w:val="center"/>
          </w:tcPr>
          <w:p w:rsidR="007A6834" w:rsidRPr="004E7D95" w:rsidRDefault="00086C3D" w:rsidP="00086C3D">
            <w:pPr>
              <w:widowControl w:val="0"/>
              <w:overflowPunct w:val="0"/>
              <w:autoSpaceDE w:val="0"/>
              <w:autoSpaceDN w:val="0"/>
              <w:adjustRightInd w:val="0"/>
              <w:jc w:val="both"/>
              <w:textAlignment w:val="baseline"/>
              <w:rPr>
                <w:rFonts w:ascii="Times New Roman" w:hAnsi="Times New Roman" w:cs="Times New Roman"/>
                <w:spacing w:val="-4"/>
                <w:sz w:val="19"/>
                <w:szCs w:val="19"/>
              </w:rPr>
            </w:pPr>
            <w:r>
              <w:rPr>
                <w:rFonts w:ascii="Times New Roman" w:hAnsi="Times New Roman" w:cs="Times New Roman"/>
                <w:b/>
                <w:iCs/>
                <w:sz w:val="19"/>
                <w:szCs w:val="19"/>
              </w:rPr>
              <w:t>Д</w:t>
            </w:r>
            <w:r w:rsidR="004E7D95" w:rsidRPr="004E7D95">
              <w:rPr>
                <w:rFonts w:ascii="Times New Roman" w:hAnsi="Times New Roman" w:cs="Times New Roman"/>
                <w:b/>
                <w:iCs/>
                <w:sz w:val="19"/>
                <w:szCs w:val="19"/>
              </w:rPr>
              <w:t>оход</w:t>
            </w:r>
            <w:r>
              <w:rPr>
                <w:rFonts w:ascii="Times New Roman" w:hAnsi="Times New Roman" w:cs="Times New Roman"/>
                <w:b/>
                <w:iCs/>
                <w:sz w:val="19"/>
                <w:szCs w:val="19"/>
              </w:rPr>
              <w:t>ы</w:t>
            </w:r>
            <w:r w:rsidR="004E7D95" w:rsidRPr="004E7D95">
              <w:rPr>
                <w:rFonts w:ascii="Times New Roman" w:hAnsi="Times New Roman" w:cs="Times New Roman"/>
                <w:b/>
                <w:iCs/>
                <w:sz w:val="19"/>
                <w:szCs w:val="19"/>
              </w:rPr>
              <w:t xml:space="preserve"> по остаткам средств на счетах федерального бюджета и от их размещения, кроме средств Фонда национального благосостояния </w:t>
            </w:r>
            <w:r w:rsidR="004E7D95" w:rsidRPr="004E7D95">
              <w:rPr>
                <w:rFonts w:ascii="Times New Roman" w:hAnsi="Times New Roman" w:cs="Times New Roman"/>
                <w:iCs/>
                <w:sz w:val="19"/>
                <w:szCs w:val="19"/>
              </w:rPr>
              <w:t>(КБК 092 1 11 02012 01 0000 120)</w:t>
            </w:r>
          </w:p>
        </w:tc>
        <w:tc>
          <w:tcPr>
            <w:tcW w:w="6975" w:type="dxa"/>
          </w:tcPr>
          <w:p w:rsidR="004E7D95" w:rsidRPr="004E7D95" w:rsidRDefault="004E7D95" w:rsidP="004E7D95">
            <w:pPr>
              <w:shd w:val="clear" w:color="auto" w:fill="FFFFFF" w:themeFill="background1"/>
              <w:autoSpaceDE w:val="0"/>
              <w:autoSpaceDN w:val="0"/>
              <w:adjustRightInd w:val="0"/>
              <w:ind w:firstLine="318"/>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Прогноз установлен в объеме 67,3 млн. рублей. По данному коду бюджетной классификации поступают проценты, начисленные на остатки денежных средств на балансовом счете 40105 «Средства федерального бюджета», в том числе на специальных счетах групп, реализующих проекты при участии Российской Федерации. </w:t>
            </w:r>
          </w:p>
          <w:p w:rsidR="007A6834" w:rsidRPr="004E7D95" w:rsidRDefault="004E7D95" w:rsidP="004E7D95">
            <w:pPr>
              <w:shd w:val="clear" w:color="auto" w:fill="FFFFFF" w:themeFill="background1"/>
              <w:autoSpaceDE w:val="0"/>
              <w:autoSpaceDN w:val="0"/>
              <w:adjustRightInd w:val="0"/>
              <w:ind w:firstLine="318"/>
              <w:jc w:val="both"/>
              <w:rPr>
                <w:rFonts w:ascii="Times New Roman" w:hAnsi="Times New Roman" w:cs="Times New Roman"/>
                <w:spacing w:val="-4"/>
                <w:sz w:val="19"/>
                <w:szCs w:val="19"/>
              </w:rPr>
            </w:pPr>
            <w:proofErr w:type="gramStart"/>
            <w:r w:rsidRPr="004E7D95">
              <w:rPr>
                <w:rFonts w:ascii="Times New Roman" w:hAnsi="Times New Roman" w:cs="Times New Roman"/>
                <w:iCs/>
                <w:spacing w:val="-4"/>
                <w:sz w:val="19"/>
                <w:szCs w:val="19"/>
              </w:rPr>
              <w:t>Поступления по указанному доходному источнику составили 65,6 млн. рублей, что на 1,7 млн. рублей или на 2,5 % меньше прогноза поступлений, учтенного в Федеральном законе № 385-ФЗ, что обусловлено снижением поступлений процентов, начисленных по счету Минфина России в ВТБ, за проданную валюту, а также процентов, начисленных на остаток по счету в ПАО «Сбербанк» у некоммерческого фонда реструктуризации и развития финансовых институтов.</w:t>
            </w:r>
            <w:proofErr w:type="gramEnd"/>
            <w:r w:rsidRPr="004E7D95">
              <w:rPr>
                <w:rFonts w:ascii="Times New Roman" w:hAnsi="Times New Roman" w:cs="Times New Roman"/>
                <w:iCs/>
                <w:spacing w:val="-4"/>
                <w:sz w:val="19"/>
                <w:szCs w:val="19"/>
              </w:rPr>
              <w:t xml:space="preserve"> Поступления в 2021 году увеличились относительно 2020 года на 1,4 млн. рублей или на 2,2 %. </w:t>
            </w:r>
          </w:p>
        </w:tc>
      </w:tr>
      <w:tr w:rsidR="004E7D95" w:rsidRPr="004E7D95" w:rsidTr="00D50EE7">
        <w:tc>
          <w:tcPr>
            <w:tcW w:w="3056" w:type="dxa"/>
            <w:vAlign w:val="center"/>
          </w:tcPr>
          <w:p w:rsidR="004E7D95" w:rsidRPr="004E7D95" w:rsidRDefault="004E7D95" w:rsidP="004E7D95">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sidRPr="004E7D95">
              <w:rPr>
                <w:rFonts w:ascii="Times New Roman" w:hAnsi="Times New Roman" w:cs="Times New Roman"/>
                <w:b/>
                <w:iCs/>
                <w:spacing w:val="-4"/>
                <w:sz w:val="19"/>
                <w:szCs w:val="19"/>
              </w:rPr>
              <w:t>Доходы от управления средствами Фонда национального благосостояния</w:t>
            </w:r>
          </w:p>
          <w:p w:rsidR="007A6834" w:rsidRPr="004E7D95" w:rsidRDefault="004E7D95" w:rsidP="004E7D95">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4E7D95">
              <w:rPr>
                <w:rFonts w:ascii="Times New Roman" w:hAnsi="Times New Roman" w:cs="Times New Roman"/>
                <w:iCs/>
                <w:spacing w:val="-4"/>
                <w:sz w:val="19"/>
                <w:szCs w:val="19"/>
              </w:rPr>
              <w:t>(КБК 092 1 11 02014 01 0000 120)</w:t>
            </w:r>
          </w:p>
        </w:tc>
        <w:tc>
          <w:tcPr>
            <w:tcW w:w="6975" w:type="dxa"/>
          </w:tcPr>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Прогноз установлен в сумме 211 770,1 млн. рублей. </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Поступления по указанному доходному источнику составили 257 292,5 млн. рублей, что на 45 522,4 млн. рублей, или на 21,5 % больше прогноза, учтенного в Федеральном законе № 385-ФЗ.</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Указанные доходы, зачисленные в 2021 году, на 88 044,9 млн. рублей, или на 25,5 %, меньше фактического поступления в 2020 году (345 337,4 млн. рублей) и на 162 113,9 млн. рублей, или </w:t>
            </w:r>
            <w:proofErr w:type="gramStart"/>
            <w:r w:rsidRPr="004E7D95">
              <w:rPr>
                <w:rFonts w:ascii="Times New Roman" w:hAnsi="Times New Roman" w:cs="Times New Roman"/>
                <w:iCs/>
                <w:spacing w:val="-4"/>
                <w:sz w:val="19"/>
                <w:szCs w:val="19"/>
              </w:rPr>
              <w:t>в</w:t>
            </w:r>
            <w:proofErr w:type="gramEnd"/>
            <w:r w:rsidRPr="004E7D95">
              <w:rPr>
                <w:rFonts w:ascii="Times New Roman" w:hAnsi="Times New Roman" w:cs="Times New Roman"/>
                <w:iCs/>
                <w:spacing w:val="-4"/>
                <w:sz w:val="19"/>
                <w:szCs w:val="19"/>
              </w:rPr>
              <w:t xml:space="preserve"> 2,7 </w:t>
            </w:r>
            <w:proofErr w:type="gramStart"/>
            <w:r w:rsidRPr="004E7D95">
              <w:rPr>
                <w:rFonts w:ascii="Times New Roman" w:hAnsi="Times New Roman" w:cs="Times New Roman"/>
                <w:iCs/>
                <w:spacing w:val="-4"/>
                <w:sz w:val="19"/>
                <w:szCs w:val="19"/>
              </w:rPr>
              <w:t>раза</w:t>
            </w:r>
            <w:proofErr w:type="gramEnd"/>
            <w:r w:rsidRPr="004E7D95">
              <w:rPr>
                <w:rFonts w:ascii="Times New Roman" w:hAnsi="Times New Roman" w:cs="Times New Roman"/>
                <w:iCs/>
                <w:spacing w:val="-4"/>
                <w:sz w:val="19"/>
                <w:szCs w:val="19"/>
              </w:rPr>
              <w:t>, превышают поступление в 2019 году (95 178,6 млн. рублей).</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Доходы от управления средствами ФНБ, зачисленные в федеральный бюджет в 2021 году, сформировались за счет доходов от размещения средств ФНБ в разрешенные финансовые активы.</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Проценты от размещения средств ФНБ на счетах в иностранной валюте в Банке России в 2021 году в федеральный бюджет не зачислялись.</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Согласно отчету Банка России о сумме процентов, начисленных за отчетный процентный период (с 15 декабря 2020 года по 15 декабря 2021 года) за пользование денежными средствами на счетах по учёту средств ФНБ и подлежащих зачислению в федеральный бюджет, суммарный непогашенный убыток отчетного процентного периода составил 1 157,4 млн. рублей. Сумма убытка, переходящего на следующий процентный период, по счету в евро составила 7,4 млн. евро, по счету в фунтах стерлингов – 5,1 млн. фунтов стерлингов и по счету в японских иенах – 76,0 млн. </w:t>
            </w:r>
            <w:r w:rsidRPr="004E7D95">
              <w:rPr>
                <w:rFonts w:ascii="Times New Roman" w:hAnsi="Times New Roman" w:cs="Times New Roman"/>
                <w:iCs/>
                <w:spacing w:val="-4"/>
                <w:sz w:val="19"/>
                <w:szCs w:val="19"/>
              </w:rPr>
              <w:lastRenderedPageBreak/>
              <w:t>японских иен.</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Процентный убыток (по информации Минфина России) образовался вследствие уменьшения доходности размещения сре</w:t>
            </w:r>
            <w:proofErr w:type="gramStart"/>
            <w:r w:rsidRPr="004E7D95">
              <w:rPr>
                <w:rFonts w:ascii="Times New Roman" w:hAnsi="Times New Roman" w:cs="Times New Roman"/>
                <w:iCs/>
                <w:spacing w:val="-4"/>
                <w:sz w:val="19"/>
                <w:szCs w:val="19"/>
              </w:rPr>
              <w:t>дств в д</w:t>
            </w:r>
            <w:proofErr w:type="gramEnd"/>
            <w:r w:rsidRPr="004E7D95">
              <w:rPr>
                <w:rFonts w:ascii="Times New Roman" w:hAnsi="Times New Roman" w:cs="Times New Roman"/>
                <w:iCs/>
                <w:spacing w:val="-4"/>
                <w:sz w:val="19"/>
                <w:szCs w:val="19"/>
              </w:rPr>
              <w:t>олларах США и фунтах стерлингов из-за снижения котировок государственных ценных бумаг правительств США и Великобритании.</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Доходы от размещения средств ФНБ в разрешенные финансовые активы (за исключением средств на счетах в Банке России), зачисленные в федеральный бюджет в 2021 году, составили 257 292,5 млн. рублей, что на 59 967,3 млн. рублей, или на 30,4 %, больше прогнозного показателя (197 325,2 млн. рублей).</w:t>
            </w:r>
          </w:p>
          <w:p w:rsidR="004E7D95" w:rsidRPr="004E7D95" w:rsidRDefault="004E7D95" w:rsidP="004E7D95">
            <w:pPr>
              <w:autoSpaceDE w:val="0"/>
              <w:autoSpaceDN w:val="0"/>
              <w:adjustRightInd w:val="0"/>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Указанные доходы, зачисленные в федеральный бюджет в 2021 году, на 6 753,0 млн. рублей, или на 2,6 %, меньше фактического поступления в 2020 году (264 045,5 млн. рублей) и на 204 574,7 млн. рублей, или </w:t>
            </w:r>
            <w:proofErr w:type="gramStart"/>
            <w:r w:rsidRPr="004E7D95">
              <w:rPr>
                <w:rFonts w:ascii="Times New Roman" w:hAnsi="Times New Roman" w:cs="Times New Roman"/>
                <w:iCs/>
                <w:spacing w:val="-4"/>
                <w:sz w:val="19"/>
                <w:szCs w:val="19"/>
              </w:rPr>
              <w:t>в</w:t>
            </w:r>
            <w:proofErr w:type="gramEnd"/>
            <w:r w:rsidRPr="004E7D95">
              <w:rPr>
                <w:rFonts w:ascii="Times New Roman" w:hAnsi="Times New Roman" w:cs="Times New Roman"/>
                <w:iCs/>
                <w:spacing w:val="-4"/>
                <w:sz w:val="19"/>
                <w:szCs w:val="19"/>
              </w:rPr>
              <w:t xml:space="preserve"> 4,9 </w:t>
            </w:r>
            <w:proofErr w:type="gramStart"/>
            <w:r w:rsidRPr="004E7D95">
              <w:rPr>
                <w:rFonts w:ascii="Times New Roman" w:hAnsi="Times New Roman" w:cs="Times New Roman"/>
                <w:iCs/>
                <w:spacing w:val="-4"/>
                <w:sz w:val="19"/>
                <w:szCs w:val="19"/>
              </w:rPr>
              <w:t>раза</w:t>
            </w:r>
            <w:proofErr w:type="gramEnd"/>
            <w:r w:rsidRPr="004E7D95">
              <w:rPr>
                <w:rFonts w:ascii="Times New Roman" w:hAnsi="Times New Roman" w:cs="Times New Roman"/>
                <w:iCs/>
                <w:spacing w:val="-4"/>
                <w:sz w:val="19"/>
                <w:szCs w:val="19"/>
              </w:rPr>
              <w:t>, превышают поступление в 2019 году (52 717,8 млн. рублей).</w:t>
            </w:r>
          </w:p>
          <w:p w:rsidR="007A6834" w:rsidRPr="004E7D95" w:rsidRDefault="004E7D95" w:rsidP="004E7D95">
            <w:pPr>
              <w:autoSpaceDE w:val="0"/>
              <w:autoSpaceDN w:val="0"/>
              <w:adjustRightInd w:val="0"/>
              <w:ind w:firstLine="346"/>
              <w:jc w:val="both"/>
              <w:rPr>
                <w:rFonts w:ascii="Times New Roman" w:hAnsi="Times New Roman" w:cs="Times New Roman"/>
                <w:spacing w:val="-4"/>
                <w:sz w:val="19"/>
                <w:szCs w:val="19"/>
              </w:rPr>
            </w:pPr>
            <w:r w:rsidRPr="004E7D95">
              <w:rPr>
                <w:rFonts w:ascii="Times New Roman" w:hAnsi="Times New Roman" w:cs="Times New Roman"/>
                <w:iCs/>
                <w:spacing w:val="-4"/>
                <w:sz w:val="19"/>
                <w:szCs w:val="19"/>
              </w:rPr>
              <w:t>В 2021 году преобладающая часть доходов от управления средствами ФНБ (82,1 %) сформировалась за счет поступлений доходов от размещения средств ФНБ в обыкновенные акции ПАО Сбербанк.</w:t>
            </w:r>
          </w:p>
        </w:tc>
      </w:tr>
      <w:tr w:rsidR="004E7D95" w:rsidRPr="004E7D95" w:rsidTr="00D50EE7">
        <w:tc>
          <w:tcPr>
            <w:tcW w:w="3056" w:type="dxa"/>
            <w:vAlign w:val="center"/>
          </w:tcPr>
          <w:p w:rsidR="00D453D5" w:rsidRPr="004E7D95" w:rsidRDefault="004E7D95" w:rsidP="004E7D95">
            <w:pPr>
              <w:widowControl w:val="0"/>
              <w:overflowPunct w:val="0"/>
              <w:autoSpaceDE w:val="0"/>
              <w:autoSpaceDN w:val="0"/>
              <w:adjustRightInd w:val="0"/>
              <w:jc w:val="both"/>
              <w:textAlignment w:val="baseline"/>
              <w:rPr>
                <w:rFonts w:ascii="Times New Roman" w:hAnsi="Times New Roman" w:cs="Times New Roman"/>
                <w:b/>
                <w:spacing w:val="-4"/>
                <w:sz w:val="19"/>
                <w:szCs w:val="19"/>
              </w:rPr>
            </w:pPr>
            <w:r>
              <w:rPr>
                <w:rFonts w:ascii="Times New Roman" w:hAnsi="Times New Roman" w:cs="Times New Roman"/>
                <w:b/>
                <w:iCs/>
                <w:spacing w:val="-4"/>
                <w:sz w:val="19"/>
                <w:szCs w:val="19"/>
              </w:rPr>
              <w:lastRenderedPageBreak/>
              <w:t>П</w:t>
            </w:r>
            <w:r w:rsidRPr="004E7D95">
              <w:rPr>
                <w:rFonts w:ascii="Times New Roman" w:hAnsi="Times New Roman" w:cs="Times New Roman"/>
                <w:b/>
                <w:iCs/>
                <w:spacing w:val="-4"/>
                <w:sz w:val="19"/>
                <w:szCs w:val="19"/>
              </w:rPr>
              <w:t>роцент</w:t>
            </w:r>
            <w:r>
              <w:rPr>
                <w:rFonts w:ascii="Times New Roman" w:hAnsi="Times New Roman" w:cs="Times New Roman"/>
                <w:b/>
                <w:iCs/>
                <w:spacing w:val="-4"/>
                <w:sz w:val="19"/>
                <w:szCs w:val="19"/>
              </w:rPr>
              <w:t>ы</w:t>
            </w:r>
            <w:r w:rsidRPr="004E7D95">
              <w:rPr>
                <w:rFonts w:ascii="Times New Roman" w:hAnsi="Times New Roman" w:cs="Times New Roman"/>
                <w:b/>
                <w:iCs/>
                <w:spacing w:val="-4"/>
                <w:sz w:val="19"/>
                <w:szCs w:val="19"/>
              </w:rPr>
              <w:t>, полученны</w:t>
            </w:r>
            <w:r>
              <w:rPr>
                <w:rFonts w:ascii="Times New Roman" w:hAnsi="Times New Roman" w:cs="Times New Roman"/>
                <w:b/>
                <w:iCs/>
                <w:spacing w:val="-4"/>
                <w:sz w:val="19"/>
                <w:szCs w:val="19"/>
              </w:rPr>
              <w:t>е</w:t>
            </w:r>
            <w:r w:rsidRPr="004E7D95">
              <w:rPr>
                <w:rFonts w:ascii="Times New Roman" w:hAnsi="Times New Roman" w:cs="Times New Roman"/>
                <w:b/>
                <w:iCs/>
                <w:spacing w:val="-4"/>
                <w:sz w:val="19"/>
                <w:szCs w:val="19"/>
              </w:rPr>
              <w:t xml:space="preserve"> от предоставления бюджетных кредитов внутри страны за счет средств федерального бюджета </w:t>
            </w:r>
            <w:r w:rsidRPr="004E7D95">
              <w:rPr>
                <w:rFonts w:ascii="Times New Roman" w:hAnsi="Times New Roman" w:cs="Times New Roman"/>
                <w:iCs/>
                <w:spacing w:val="-4"/>
                <w:sz w:val="19"/>
                <w:szCs w:val="19"/>
              </w:rPr>
              <w:t xml:space="preserve">(КБК </w:t>
            </w:r>
            <w:bookmarkStart w:id="0" w:name="_Hlk43318455"/>
            <w:r w:rsidRPr="004E7D95">
              <w:rPr>
                <w:rFonts w:ascii="Times New Roman" w:hAnsi="Times New Roman" w:cs="Times New Roman"/>
                <w:iCs/>
                <w:spacing w:val="-4"/>
                <w:sz w:val="19"/>
                <w:szCs w:val="19"/>
              </w:rPr>
              <w:t>092 1 11 03010 01 0000 120</w:t>
            </w:r>
            <w:bookmarkEnd w:id="0"/>
            <w:r w:rsidRPr="004E7D95">
              <w:rPr>
                <w:rFonts w:ascii="Times New Roman" w:hAnsi="Times New Roman" w:cs="Times New Roman"/>
                <w:iCs/>
                <w:spacing w:val="-4"/>
                <w:sz w:val="19"/>
                <w:szCs w:val="19"/>
              </w:rPr>
              <w:t>)</w:t>
            </w:r>
          </w:p>
        </w:tc>
        <w:tc>
          <w:tcPr>
            <w:tcW w:w="6975" w:type="dxa"/>
          </w:tcPr>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Прогноз установлен в сумме 1 066,7 млн. рублей. По данному коду учитываются проценты, полученные от предоставления бюджетных кредитов внутри страны за счет средств федерального бюджета, в соответствии с графиками, предусмотренными заключенными соглашениями о предоставлении бюджетных кредитов. </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Поступления по указанному доходному источнику составили 1 473,6 млн. рублей, что на 406,9 млн. рублей, или на 38,2 % больше прогноза, учтенного в Федеральном законе № 385-ФЗ. Превышение фактических поступлений сложилось в основном из-за неучтенных при формировании бюджета на 2021 год процентных платежей по бюджетным кредитам, предоставленным в декабре 2020 года и в 2021 году.</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Общая сумма процентов полученных от предоставления бюджетных кредитов внутри страны за счет средств федерального бюджета сложилась из следующих администрируемых Минфином России, доходов:</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бюджетные средства, предоставленные юридическим лицам для формирования Федерального продовольственного фонда </w:t>
            </w:r>
            <w:bookmarkStart w:id="1" w:name="_Hlk99450207"/>
            <w:r w:rsidRPr="004E7D95">
              <w:rPr>
                <w:rFonts w:ascii="Times New Roman" w:hAnsi="Times New Roman" w:cs="Times New Roman"/>
                <w:iCs/>
                <w:spacing w:val="-4"/>
                <w:sz w:val="19"/>
                <w:szCs w:val="19"/>
              </w:rPr>
              <w:t>(КБК 092 1 11 03010 01 0201 120) в сумме 1,6 млн. рублей;</w:t>
            </w:r>
          </w:p>
          <w:bookmarkEnd w:id="1"/>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 (КБК 092 1 11 03010 01 1001 120) в сумме 3,0 млн. рублей;</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w:t>
            </w:r>
            <w:proofErr w:type="gramStart"/>
            <w:r w:rsidRPr="004E7D95">
              <w:rPr>
                <w:rFonts w:ascii="Times New Roman" w:hAnsi="Times New Roman" w:cs="Times New Roman"/>
                <w:iCs/>
                <w:spacing w:val="-4"/>
                <w:sz w:val="19"/>
                <w:szCs w:val="19"/>
              </w:rPr>
              <w:t>дств сп</w:t>
            </w:r>
            <w:proofErr w:type="gramEnd"/>
            <w:r w:rsidRPr="004E7D95">
              <w:rPr>
                <w:rFonts w:ascii="Times New Roman" w:hAnsi="Times New Roman" w:cs="Times New Roman"/>
                <w:iCs/>
                <w:spacing w:val="-4"/>
                <w:sz w:val="19"/>
                <w:szCs w:val="19"/>
              </w:rPr>
              <w:t>ециального бюджетного фонда льготного кредитования (КБК 092 1 11 03010 01 1701 120) в сумме 0,04 млн. рублей;</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юридическим лицам в рамках инвестиционных программ конверсии оборонной промышленности 1992 – 1997 годов) (КБК 092 1 11 03010 01 1801 120) в сумме 0,9 млн. рублей;</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юридическим лицам на инвестиционные проекты, размещаемые на конкурсной основе (1992 - 1998 годы) (КБК 092 1 11 03010 01 1901 120) в сумме 0,3 млн. рублей;</w:t>
            </w:r>
          </w:p>
          <w:p w:rsidR="004E7D95" w:rsidRPr="004E7D95" w:rsidRDefault="004E7D95" w:rsidP="004E7D95">
            <w:pPr>
              <w:ind w:firstLine="346"/>
              <w:jc w:val="both"/>
              <w:rPr>
                <w:rFonts w:ascii="Times New Roman" w:hAnsi="Times New Roman" w:cs="Times New Roman"/>
                <w:iCs/>
                <w:spacing w:val="-4"/>
                <w:sz w:val="19"/>
                <w:szCs w:val="19"/>
              </w:rPr>
            </w:pPr>
            <w:proofErr w:type="gramStart"/>
            <w:r w:rsidRPr="004E7D95">
              <w:rPr>
                <w:rFonts w:ascii="Times New Roman" w:hAnsi="Times New Roman" w:cs="Times New Roman"/>
                <w:iCs/>
                <w:spacing w:val="-4"/>
                <w:sz w:val="19"/>
                <w:szCs w:val="19"/>
              </w:rPr>
              <w:t>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(КБК 092 1 11 03010 01 2500 120) в сумме 207,6 млн. рублей (не прогнозировались при формировании бюджета на 2021 год, так как указанные кредиты были предоставлены субъектам Российской Федерации в середине декабря 2020 года);</w:t>
            </w:r>
            <w:proofErr w:type="gramEnd"/>
          </w:p>
          <w:p w:rsidR="004E7D95" w:rsidRPr="004E7D95" w:rsidRDefault="004E7D95" w:rsidP="004E7D95">
            <w:pPr>
              <w:ind w:firstLine="346"/>
              <w:jc w:val="both"/>
              <w:rPr>
                <w:rFonts w:ascii="Times New Roman" w:hAnsi="Times New Roman" w:cs="Times New Roman"/>
                <w:iCs/>
                <w:spacing w:val="-4"/>
                <w:sz w:val="19"/>
                <w:szCs w:val="19"/>
              </w:rPr>
            </w:pPr>
            <w:proofErr w:type="gramStart"/>
            <w:r w:rsidRPr="004E7D95">
              <w:rPr>
                <w:rFonts w:ascii="Times New Roman" w:hAnsi="Times New Roman" w:cs="Times New Roman"/>
                <w:iCs/>
                <w:spacing w:val="-4"/>
                <w:sz w:val="19"/>
                <w:szCs w:val="19"/>
              </w:rPr>
              <w:t>бюджетные кредиты, предоставленные бюджетам субъектов Российской Федерации на финансовое обеспечение реализации инфраструктурных проектов (КБК 092 1 11 03010 01 2700 120) в сумме 9,6 млн. рублей (не прогнозировались при формировании бюджета на 2021 год.</w:t>
            </w:r>
            <w:proofErr w:type="gramEnd"/>
            <w:r w:rsidRPr="004E7D95">
              <w:rPr>
                <w:rFonts w:ascii="Times New Roman" w:hAnsi="Times New Roman" w:cs="Times New Roman"/>
                <w:iCs/>
                <w:spacing w:val="-4"/>
                <w:sz w:val="19"/>
                <w:szCs w:val="19"/>
              </w:rPr>
              <w:t xml:space="preserve"> </w:t>
            </w:r>
            <w:proofErr w:type="gramStart"/>
            <w:r w:rsidRPr="004E7D95">
              <w:rPr>
                <w:rFonts w:ascii="Times New Roman" w:hAnsi="Times New Roman" w:cs="Times New Roman"/>
                <w:iCs/>
                <w:spacing w:val="-4"/>
                <w:sz w:val="19"/>
                <w:szCs w:val="19"/>
              </w:rPr>
              <w:t>Кредиты на реализацию инфраструктурных проектов были предоставлены в 2021 году</w:t>
            </w:r>
            <w:r w:rsidRPr="004E7D95">
              <w:rPr>
                <w:rFonts w:ascii="Times New Roman" w:hAnsi="Times New Roman" w:cs="Times New Roman"/>
                <w:iCs/>
                <w:spacing w:val="-4"/>
                <w:sz w:val="19"/>
                <w:szCs w:val="19"/>
                <w:vertAlign w:val="superscript"/>
              </w:rPr>
              <w:footnoteReference w:id="1"/>
            </w:r>
            <w:r w:rsidRPr="004E7D95">
              <w:rPr>
                <w:rFonts w:ascii="Times New Roman" w:hAnsi="Times New Roman" w:cs="Times New Roman"/>
                <w:iCs/>
                <w:spacing w:val="-4"/>
                <w:sz w:val="19"/>
                <w:szCs w:val="19"/>
              </w:rPr>
              <w:t>);</w:t>
            </w:r>
            <w:proofErr w:type="gramEnd"/>
          </w:p>
          <w:p w:rsidR="004E7D95" w:rsidRPr="004E7D95" w:rsidRDefault="004E7D95" w:rsidP="004E7D95">
            <w:pPr>
              <w:ind w:firstLine="346"/>
              <w:jc w:val="both"/>
              <w:rPr>
                <w:rFonts w:ascii="Times New Roman" w:hAnsi="Times New Roman" w:cs="Times New Roman"/>
                <w:iCs/>
                <w:spacing w:val="-4"/>
                <w:sz w:val="19"/>
                <w:szCs w:val="19"/>
              </w:rPr>
            </w:pPr>
            <w:proofErr w:type="gramStart"/>
            <w:r w:rsidRPr="004E7D95">
              <w:rPr>
                <w:rFonts w:ascii="Times New Roman" w:hAnsi="Times New Roman" w:cs="Times New Roman"/>
                <w:iCs/>
                <w:spacing w:val="-4"/>
                <w:sz w:val="19"/>
                <w:szCs w:val="19"/>
              </w:rPr>
              <w:t xml:space="preserve">бюджетные кредиты, предоставленные бюджетам субъектов Российской Федерации для погашения долговых обязательств субъекта Российской Федерации </w:t>
            </w:r>
            <w:r w:rsidRPr="004E7D95">
              <w:rPr>
                <w:rFonts w:ascii="Times New Roman" w:hAnsi="Times New Roman" w:cs="Times New Roman"/>
                <w:iCs/>
                <w:spacing w:val="-4"/>
                <w:sz w:val="19"/>
                <w:szCs w:val="19"/>
              </w:rPr>
              <w:lastRenderedPageBreak/>
              <w:t>(муниципального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(КБК 092 1 11 03010 01 2800 120) в сумме 117,9 млн. рублей (не прогнозировались при формировании бюджета на</w:t>
            </w:r>
            <w:proofErr w:type="gramEnd"/>
            <w:r w:rsidRPr="004E7D95">
              <w:rPr>
                <w:rFonts w:ascii="Times New Roman" w:hAnsi="Times New Roman" w:cs="Times New Roman"/>
                <w:iCs/>
                <w:spacing w:val="-4"/>
                <w:sz w:val="19"/>
                <w:szCs w:val="19"/>
              </w:rPr>
              <w:t xml:space="preserve"> 2021 год. </w:t>
            </w:r>
            <w:proofErr w:type="gramStart"/>
            <w:r w:rsidRPr="004E7D95">
              <w:rPr>
                <w:rFonts w:ascii="Times New Roman" w:hAnsi="Times New Roman" w:cs="Times New Roman"/>
                <w:iCs/>
                <w:spacing w:val="-4"/>
                <w:sz w:val="19"/>
                <w:szCs w:val="19"/>
              </w:rPr>
              <w:t>Кредиты на погашение коммерческой задолженности были предоставлены в 2021 году</w:t>
            </w:r>
            <w:r w:rsidRPr="004E7D95">
              <w:rPr>
                <w:rFonts w:ascii="Times New Roman" w:hAnsi="Times New Roman" w:cs="Times New Roman"/>
                <w:iCs/>
                <w:spacing w:val="-4"/>
                <w:sz w:val="19"/>
                <w:szCs w:val="19"/>
                <w:vertAlign w:val="superscript"/>
              </w:rPr>
              <w:footnoteReference w:id="2"/>
            </w:r>
            <w:r w:rsidRPr="004E7D95">
              <w:rPr>
                <w:rFonts w:ascii="Times New Roman" w:hAnsi="Times New Roman" w:cs="Times New Roman"/>
                <w:iCs/>
                <w:spacing w:val="-4"/>
                <w:sz w:val="19"/>
                <w:szCs w:val="19"/>
              </w:rPr>
              <w:t>);</w:t>
            </w:r>
            <w:r w:rsidRPr="004E7D95">
              <w:rPr>
                <w:rFonts w:ascii="Times New Roman" w:hAnsi="Times New Roman" w:cs="Times New Roman"/>
                <w:iCs/>
                <w:spacing w:val="-4"/>
                <w:sz w:val="19"/>
                <w:szCs w:val="19"/>
              </w:rPr>
              <w:tab/>
            </w:r>
            <w:proofErr w:type="gramEnd"/>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 (КБК 092 1 11 03010 01 3702 120) в сумме 27,4 млн. рублей;</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прочие бюджетные кредиты (ссуды), предоставленные юридическим лицам (КБК 092 1 11 03010 01 4601 120) в сумме 235,4 млн. рублей;</w:t>
            </w:r>
            <w:r w:rsidRPr="004E7D95">
              <w:rPr>
                <w:rFonts w:ascii="Times New Roman" w:hAnsi="Times New Roman" w:cs="Times New Roman"/>
                <w:iCs/>
                <w:spacing w:val="-4"/>
                <w:sz w:val="19"/>
                <w:szCs w:val="19"/>
              </w:rPr>
              <w:tab/>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(КБК 092 1 11 03010 01 5002 120) в сумме 20,7 млн. рублей;</w:t>
            </w:r>
            <w:r w:rsidRPr="004E7D95">
              <w:rPr>
                <w:rFonts w:ascii="Times New Roman" w:hAnsi="Times New Roman" w:cs="Times New Roman"/>
                <w:iCs/>
                <w:spacing w:val="-4"/>
                <w:sz w:val="19"/>
                <w:szCs w:val="19"/>
              </w:rPr>
              <w:tab/>
            </w:r>
          </w:p>
          <w:p w:rsidR="004E7D95" w:rsidRPr="004E7D95" w:rsidRDefault="004E7D95" w:rsidP="004E7D95">
            <w:pPr>
              <w:ind w:firstLine="346"/>
              <w:jc w:val="both"/>
              <w:rPr>
                <w:rFonts w:ascii="Times New Roman" w:hAnsi="Times New Roman" w:cs="Times New Roman"/>
                <w:iCs/>
                <w:spacing w:val="-4"/>
                <w:sz w:val="19"/>
                <w:szCs w:val="19"/>
              </w:rPr>
            </w:pPr>
            <w:proofErr w:type="gramStart"/>
            <w:r w:rsidRPr="004E7D95">
              <w:rPr>
                <w:rFonts w:ascii="Times New Roman" w:hAnsi="Times New Roman" w:cs="Times New Roman"/>
                <w:iCs/>
                <w:spacing w:val="-4"/>
                <w:sz w:val="19"/>
                <w:szCs w:val="19"/>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 (КБК 092 1 11 03010 01 5003 120) в сумме 753,9 млн. рублей, или 110,4 % прогноза поступлений (в августе - октябре 2020 года Минфином России были заключены дополнительные соглашения с субъектами Российской Федерации в рамках продления</w:t>
            </w:r>
            <w:proofErr w:type="gramEnd"/>
            <w:r w:rsidRPr="004E7D95">
              <w:rPr>
                <w:rFonts w:ascii="Times New Roman" w:hAnsi="Times New Roman" w:cs="Times New Roman"/>
                <w:iCs/>
                <w:spacing w:val="-4"/>
                <w:sz w:val="19"/>
                <w:szCs w:val="19"/>
              </w:rPr>
              <w:t xml:space="preserve"> периода погашения ранее реструктурированной задолженности по бюджетным кредитам до 2029 года включительно. </w:t>
            </w:r>
            <w:proofErr w:type="gramStart"/>
            <w:r w:rsidRPr="004E7D95">
              <w:rPr>
                <w:rFonts w:ascii="Times New Roman" w:hAnsi="Times New Roman" w:cs="Times New Roman"/>
                <w:iCs/>
                <w:spacing w:val="-4"/>
                <w:sz w:val="19"/>
                <w:szCs w:val="19"/>
              </w:rPr>
              <w:t>При формировании бюджета на 2021 год учитывались графики выплаты процентов без учета указанных дополнительных соглашений);</w:t>
            </w:r>
            <w:proofErr w:type="gramEnd"/>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 (КБК 092 1 11 03010 01 5103 120) в сумме 92,3 млн. рублей;</w:t>
            </w:r>
          </w:p>
          <w:p w:rsidR="00E72E8D" w:rsidRPr="004E7D95" w:rsidRDefault="004E7D95" w:rsidP="004E7D95">
            <w:pPr>
              <w:ind w:firstLine="346"/>
              <w:jc w:val="both"/>
              <w:rPr>
                <w:rFonts w:ascii="Times New Roman" w:hAnsi="Times New Roman" w:cs="Times New Roman"/>
                <w:spacing w:val="-4"/>
                <w:sz w:val="19"/>
                <w:szCs w:val="19"/>
              </w:rPr>
            </w:pPr>
            <w:r w:rsidRPr="004E7D95">
              <w:rPr>
                <w:rFonts w:ascii="Times New Roman" w:hAnsi="Times New Roman" w:cs="Times New Roman"/>
                <w:iCs/>
                <w:spacing w:val="-4"/>
                <w:sz w:val="19"/>
                <w:szCs w:val="19"/>
              </w:rPr>
              <w:t xml:space="preserve">бюджетные кредиты, предоставленные на реализацию мероприятий по поддержке </w:t>
            </w:r>
            <w:proofErr w:type="spellStart"/>
            <w:r w:rsidRPr="004E7D95">
              <w:rPr>
                <w:rFonts w:ascii="Times New Roman" w:hAnsi="Times New Roman" w:cs="Times New Roman"/>
                <w:iCs/>
                <w:spacing w:val="-4"/>
                <w:sz w:val="19"/>
                <w:szCs w:val="19"/>
              </w:rPr>
              <w:t>монопрофильных</w:t>
            </w:r>
            <w:proofErr w:type="spellEnd"/>
            <w:r w:rsidRPr="004E7D95">
              <w:rPr>
                <w:rFonts w:ascii="Times New Roman" w:hAnsi="Times New Roman" w:cs="Times New Roman"/>
                <w:iCs/>
                <w:spacing w:val="-4"/>
                <w:sz w:val="19"/>
                <w:szCs w:val="19"/>
              </w:rPr>
              <w:t xml:space="preserve">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 (КБК 092 1 11 03010 01 5303 120) в сумме 2,9 млн. рублей.</w:t>
            </w:r>
          </w:p>
        </w:tc>
      </w:tr>
      <w:tr w:rsidR="000B180A" w:rsidRPr="000B180A" w:rsidTr="00D50EE7">
        <w:trPr>
          <w:trHeight w:val="5375"/>
        </w:trPr>
        <w:tc>
          <w:tcPr>
            <w:tcW w:w="3056" w:type="dxa"/>
            <w:vAlign w:val="center"/>
          </w:tcPr>
          <w:p w:rsidR="00E72E8D" w:rsidRPr="004E7D95" w:rsidRDefault="004E7D95" w:rsidP="004E7D95">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4E7D95">
              <w:rPr>
                <w:rFonts w:ascii="Times New Roman" w:hAnsi="Times New Roman" w:cs="Times New Roman"/>
                <w:b/>
                <w:iCs/>
                <w:spacing w:val="-4"/>
                <w:sz w:val="19"/>
                <w:szCs w:val="19"/>
              </w:rPr>
              <w:lastRenderedPageBreak/>
              <w:t>Проценты по государственным кредитам и кредитам, предоставленным за счет средств целевых иностранных кредитов (заимствований)</w:t>
            </w:r>
            <w:r w:rsidRPr="004E7D95">
              <w:rPr>
                <w:rFonts w:ascii="Times New Roman" w:hAnsi="Times New Roman" w:cs="Times New Roman"/>
                <w:iCs/>
                <w:spacing w:val="-4"/>
                <w:sz w:val="19"/>
                <w:szCs w:val="19"/>
              </w:rPr>
              <w:t xml:space="preserve"> (КБК 092 1 11 04000 00 0000 120)</w:t>
            </w:r>
          </w:p>
        </w:tc>
        <w:tc>
          <w:tcPr>
            <w:tcW w:w="6975" w:type="dxa"/>
          </w:tcPr>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Прогноз установлен в сумме 69 099,2 млн. рублей. По данному коду учитываются проценты, полученные от предоставления бюджетных кредитов внутри страны за счет средств федерального бюджета, в соответствии с графиками, предусмотренными заключенными соглашениями о предоставлении бюджетных кредитов.</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 xml:space="preserve">Поступления по указанному доходному источнику составили 52 339,3 млн. рублей, или на 24,4 % меньше прогноза, учтенного в Федеральном законе № 385-ФЗ, в связи с невыполнением иностранными заемщиками обязательств </w:t>
            </w:r>
            <w:proofErr w:type="gramStart"/>
            <w:r w:rsidRPr="004E7D95">
              <w:rPr>
                <w:rFonts w:ascii="Times New Roman" w:hAnsi="Times New Roman" w:cs="Times New Roman"/>
                <w:iCs/>
                <w:spacing w:val="-4"/>
                <w:sz w:val="19"/>
                <w:szCs w:val="19"/>
              </w:rPr>
              <w:t>перед</w:t>
            </w:r>
            <w:proofErr w:type="gramEnd"/>
            <w:r w:rsidRPr="004E7D95">
              <w:rPr>
                <w:rFonts w:ascii="Times New Roman" w:hAnsi="Times New Roman" w:cs="Times New Roman"/>
                <w:iCs/>
                <w:spacing w:val="-4"/>
                <w:sz w:val="19"/>
                <w:szCs w:val="19"/>
              </w:rPr>
              <w:t xml:space="preserve"> Российской Федерации.</w:t>
            </w:r>
          </w:p>
          <w:p w:rsidR="004E7D95" w:rsidRPr="004E7D95" w:rsidRDefault="004E7D95" w:rsidP="004E7D95">
            <w:pPr>
              <w:ind w:firstLine="346"/>
              <w:jc w:val="both"/>
              <w:rPr>
                <w:rFonts w:ascii="Times New Roman" w:hAnsi="Times New Roman" w:cs="Times New Roman"/>
                <w:iCs/>
                <w:spacing w:val="-4"/>
                <w:sz w:val="19"/>
                <w:szCs w:val="19"/>
              </w:rPr>
            </w:pPr>
            <w:r w:rsidRPr="004E7D95">
              <w:rPr>
                <w:rFonts w:ascii="Times New Roman" w:hAnsi="Times New Roman" w:cs="Times New Roman"/>
                <w:iCs/>
                <w:spacing w:val="-4"/>
                <w:sz w:val="19"/>
                <w:szCs w:val="19"/>
              </w:rPr>
              <w:t>Информация о кассовом исполнении в 2021 году доходов, администрируемых Минфином России, в части процентов по государственным кредитам и кредитам, предоставленным за счет средств целевых иностранных кредитов, представлена в следующей таблице.</w:t>
            </w:r>
          </w:p>
          <w:p w:rsidR="004E7D95" w:rsidRPr="004E7D95" w:rsidRDefault="004E7D95" w:rsidP="004E7D95">
            <w:pPr>
              <w:ind w:firstLine="346"/>
              <w:jc w:val="right"/>
              <w:rPr>
                <w:rFonts w:ascii="Times New Roman" w:hAnsi="Times New Roman" w:cs="Times New Roman"/>
                <w:iCs/>
                <w:spacing w:val="-4"/>
                <w:sz w:val="19"/>
                <w:szCs w:val="19"/>
              </w:rPr>
            </w:pPr>
            <w:r w:rsidRPr="004E7D95">
              <w:rPr>
                <w:rFonts w:ascii="Times New Roman" w:hAnsi="Times New Roman" w:cs="Times New Roman"/>
                <w:iCs/>
                <w:spacing w:val="-4"/>
                <w:sz w:val="19"/>
                <w:szCs w:val="19"/>
              </w:rPr>
              <w:t>(млн. руб.)</w:t>
            </w:r>
          </w:p>
          <w:tbl>
            <w:tblPr>
              <w:tblW w:w="6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2219"/>
              <w:gridCol w:w="850"/>
              <w:gridCol w:w="851"/>
              <w:gridCol w:w="709"/>
              <w:gridCol w:w="850"/>
              <w:gridCol w:w="1276"/>
            </w:tblGrid>
            <w:tr w:rsidR="004E7D95" w:rsidRPr="004E7D95" w:rsidTr="004E7D95">
              <w:trPr>
                <w:trHeight w:hRule="exact" w:val="778"/>
                <w:tblHeader/>
              </w:trPr>
              <w:tc>
                <w:tcPr>
                  <w:tcW w:w="221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Наименование вида доходов федерального бюджета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bCs/>
                      <w:sz w:val="14"/>
                      <w:szCs w:val="14"/>
                      <w:lang w:eastAsia="en-US"/>
                    </w:rPr>
                  </w:pPr>
                  <w:r w:rsidRPr="004E7D95">
                    <w:rPr>
                      <w:rFonts w:ascii="Times New Roman" w:eastAsia="Calibri" w:hAnsi="Times New Roman" w:cs="Times New Roman"/>
                      <w:bCs/>
                      <w:sz w:val="14"/>
                      <w:szCs w:val="14"/>
                      <w:lang w:eastAsia="en-US"/>
                    </w:rPr>
                    <w:t>Прогноз поступлений доходов</w:t>
                  </w:r>
                </w:p>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на 2021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Кассовое</w:t>
                  </w:r>
                </w:p>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исполнение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bCs/>
                      <w:sz w:val="14"/>
                      <w:szCs w:val="14"/>
                      <w:lang w:eastAsia="en-US"/>
                    </w:rPr>
                  </w:pPr>
                  <w:r w:rsidRPr="004E7D95">
                    <w:rPr>
                      <w:rFonts w:ascii="Times New Roman" w:eastAsia="Calibri" w:hAnsi="Times New Roman" w:cs="Times New Roman"/>
                      <w:bCs/>
                      <w:sz w:val="14"/>
                      <w:szCs w:val="14"/>
                      <w:lang w:eastAsia="en-US"/>
                    </w:rPr>
                    <w:t>Отклонение</w:t>
                  </w:r>
                </w:p>
                <w:p w:rsidR="004E7D95" w:rsidRPr="004E7D95" w:rsidRDefault="004E7D95" w:rsidP="00565763">
                  <w:pPr>
                    <w:widowControl w:val="0"/>
                    <w:spacing w:after="0" w:line="240" w:lineRule="auto"/>
                    <w:jc w:val="center"/>
                    <w:rPr>
                      <w:rFonts w:ascii="Times New Roman" w:eastAsia="Calibri" w:hAnsi="Times New Roman" w:cs="Times New Roman"/>
                      <w:bCs/>
                      <w:sz w:val="14"/>
                      <w:szCs w:val="14"/>
                      <w:lang w:eastAsia="en-US"/>
                    </w:rPr>
                  </w:pPr>
                  <w:proofErr w:type="gramStart"/>
                  <w:r w:rsidRPr="004E7D95">
                    <w:rPr>
                      <w:rFonts w:ascii="Times New Roman" w:eastAsia="Calibri" w:hAnsi="Times New Roman" w:cs="Times New Roman"/>
                      <w:bCs/>
                      <w:sz w:val="14"/>
                      <w:szCs w:val="14"/>
                      <w:lang w:eastAsia="en-US"/>
                    </w:rPr>
                    <w:t>(«+» перевыполнение,</w:t>
                  </w:r>
                  <w:proofErr w:type="gramEnd"/>
                </w:p>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 недовыполнение)</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bCs/>
                      <w:sz w:val="14"/>
                      <w:szCs w:val="14"/>
                      <w:lang w:eastAsia="en-US"/>
                    </w:rPr>
                  </w:pPr>
                  <w:r w:rsidRPr="004E7D95">
                    <w:rPr>
                      <w:rFonts w:ascii="Times New Roman" w:eastAsia="Calibri" w:hAnsi="Times New Roman" w:cs="Times New Roman"/>
                      <w:bCs/>
                      <w:sz w:val="14"/>
                      <w:szCs w:val="14"/>
                      <w:lang w:eastAsia="en-US"/>
                    </w:rPr>
                    <w:t>Причина отклонения</w:t>
                  </w:r>
                </w:p>
              </w:tc>
            </w:tr>
            <w:tr w:rsidR="004E7D95" w:rsidRPr="004E7D95" w:rsidTr="004E7D95">
              <w:trPr>
                <w:trHeight w:hRule="exact" w:val="819"/>
                <w:tblHeader/>
              </w:trPr>
              <w:tc>
                <w:tcPr>
                  <w:tcW w:w="2219" w:type="dxa"/>
                  <w:vMerge/>
                  <w:tcBorders>
                    <w:top w:val="single" w:sz="4" w:space="0" w:color="auto"/>
                    <w:left w:val="single" w:sz="4" w:space="0" w:color="auto"/>
                    <w:bottom w:val="single" w:sz="4" w:space="0" w:color="auto"/>
                    <w:right w:val="single" w:sz="4" w:space="0" w:color="auto"/>
                  </w:tcBorders>
                  <w:vAlign w:val="center"/>
                </w:tcPr>
                <w:p w:rsidR="004E7D95" w:rsidRPr="004E7D95" w:rsidRDefault="004E7D95" w:rsidP="00565763">
                  <w:pPr>
                    <w:spacing w:after="0" w:line="240" w:lineRule="auto"/>
                    <w:jc w:val="center"/>
                    <w:rPr>
                      <w:rFonts w:ascii="Times New Roman" w:eastAsia="Calibri" w:hAnsi="Times New Roman" w:cs="Times New Roman"/>
                      <w:sz w:val="14"/>
                      <w:szCs w:val="14"/>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E7D95" w:rsidRPr="004E7D95" w:rsidRDefault="004E7D95" w:rsidP="00565763">
                  <w:pPr>
                    <w:spacing w:after="0" w:line="240" w:lineRule="auto"/>
                    <w:jc w:val="center"/>
                    <w:rPr>
                      <w:rFonts w:ascii="Times New Roman" w:eastAsia="Calibri" w:hAnsi="Times New Roman" w:cs="Times New Roman"/>
                      <w:sz w:val="14"/>
                      <w:szCs w:val="14"/>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E7D95" w:rsidRPr="004E7D95" w:rsidRDefault="004E7D95" w:rsidP="00565763">
                  <w:pPr>
                    <w:spacing w:after="0" w:line="240" w:lineRule="auto"/>
                    <w:jc w:val="center"/>
                    <w:rPr>
                      <w:rFonts w:ascii="Times New Roman" w:eastAsia="Calibri" w:hAnsi="Times New Roman" w:cs="Times New Roman"/>
                      <w:sz w:val="14"/>
                      <w:szCs w:val="1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гр.3 - гр.2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ind w:left="-10" w:right="-10"/>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w:t>
                  </w:r>
                </w:p>
                <w:p w:rsidR="004E7D95" w:rsidRPr="004E7D95" w:rsidRDefault="004E7D95" w:rsidP="00565763">
                  <w:pPr>
                    <w:widowControl w:val="0"/>
                    <w:spacing w:after="0" w:line="240" w:lineRule="auto"/>
                    <w:ind w:left="-10" w:right="-10"/>
                    <w:jc w:val="center"/>
                    <w:rPr>
                      <w:rFonts w:ascii="Times New Roman" w:eastAsia="Calibri" w:hAnsi="Times New Roman" w:cs="Times New Roman"/>
                      <w:bCs/>
                      <w:sz w:val="14"/>
                      <w:szCs w:val="14"/>
                      <w:lang w:eastAsia="en-US"/>
                    </w:rPr>
                  </w:pPr>
                  <w:r w:rsidRPr="004E7D95">
                    <w:rPr>
                      <w:rFonts w:ascii="Times New Roman" w:eastAsia="Calibri" w:hAnsi="Times New Roman" w:cs="Times New Roman"/>
                      <w:bCs/>
                      <w:sz w:val="14"/>
                      <w:szCs w:val="14"/>
                      <w:lang w:eastAsia="en-US"/>
                    </w:rPr>
                    <w:t>исполнения</w:t>
                  </w:r>
                </w:p>
                <w:p w:rsidR="004E7D95" w:rsidRPr="004E7D95" w:rsidRDefault="004E7D95" w:rsidP="00565763">
                  <w:pPr>
                    <w:widowControl w:val="0"/>
                    <w:spacing w:after="0" w:line="240" w:lineRule="auto"/>
                    <w:ind w:left="-10" w:right="-10"/>
                    <w:jc w:val="center"/>
                    <w:rPr>
                      <w:rFonts w:ascii="Times New Roman" w:eastAsia="Calibri" w:hAnsi="Times New Roman" w:cs="Times New Roman"/>
                      <w:sz w:val="14"/>
                      <w:szCs w:val="14"/>
                      <w:lang w:eastAsia="en-US"/>
                    </w:rPr>
                  </w:pPr>
                  <w:r w:rsidRPr="004E7D95">
                    <w:rPr>
                      <w:rFonts w:ascii="Times New Roman" w:eastAsia="Calibri" w:hAnsi="Times New Roman" w:cs="Times New Roman"/>
                      <w:bCs/>
                      <w:sz w:val="14"/>
                      <w:szCs w:val="14"/>
                      <w:lang w:eastAsia="en-US"/>
                    </w:rPr>
                    <w:t>(гр.3 / гр.2*100)</w:t>
                  </w:r>
                </w:p>
              </w:tc>
              <w:tc>
                <w:tcPr>
                  <w:tcW w:w="1276" w:type="dxa"/>
                  <w:vMerge/>
                  <w:tcBorders>
                    <w:left w:val="single" w:sz="4" w:space="0" w:color="auto"/>
                    <w:bottom w:val="single" w:sz="4" w:space="0" w:color="auto"/>
                    <w:right w:val="single" w:sz="4" w:space="0" w:color="auto"/>
                  </w:tcBorders>
                  <w:shd w:val="clear" w:color="auto" w:fill="FFFFFF"/>
                </w:tcPr>
                <w:p w:rsidR="004E7D95" w:rsidRPr="004E7D95" w:rsidRDefault="004E7D95" w:rsidP="00565763">
                  <w:pPr>
                    <w:widowControl w:val="0"/>
                    <w:spacing w:after="0" w:line="240" w:lineRule="auto"/>
                    <w:jc w:val="center"/>
                    <w:rPr>
                      <w:rFonts w:ascii="Times New Roman" w:eastAsia="Calibri" w:hAnsi="Times New Roman" w:cs="Times New Roman"/>
                      <w:bCs/>
                      <w:sz w:val="14"/>
                      <w:szCs w:val="14"/>
                      <w:lang w:eastAsia="en-US"/>
                    </w:rPr>
                  </w:pPr>
                </w:p>
              </w:tc>
            </w:tr>
            <w:tr w:rsidR="004E7D95" w:rsidRPr="004E7D95" w:rsidTr="004E7D95">
              <w:trPr>
                <w:trHeight w:hRule="exact" w:val="197"/>
                <w:tblHeader/>
              </w:trPr>
              <w:tc>
                <w:tcPr>
                  <w:tcW w:w="221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shd w:val="clear" w:color="auto" w:fill="FFFFFF"/>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shd w:val="clear" w:color="auto" w:fill="FFFFFF"/>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shd w:val="clear" w:color="auto" w:fill="FFFFFF"/>
                    </w:rPr>
                    <w:t>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shd w:val="clear" w:color="auto" w:fill="FFFFFF"/>
                    </w:rPr>
                    <w:t>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E7D95" w:rsidRPr="004E7D95" w:rsidRDefault="004E7D95" w:rsidP="00565763">
                  <w:pPr>
                    <w:widowControl w:val="0"/>
                    <w:spacing w:after="0" w:line="240" w:lineRule="auto"/>
                    <w:jc w:val="center"/>
                    <w:rPr>
                      <w:rFonts w:ascii="Times New Roman" w:eastAsia="Calibri" w:hAnsi="Times New Roman" w:cs="Times New Roman"/>
                      <w:sz w:val="14"/>
                      <w:szCs w:val="14"/>
                      <w:shd w:val="clear" w:color="auto" w:fill="FFFFFF"/>
                    </w:rPr>
                  </w:pPr>
                  <w:r w:rsidRPr="004E7D95">
                    <w:rPr>
                      <w:rFonts w:ascii="Times New Roman" w:eastAsia="Calibri" w:hAnsi="Times New Roman" w:cs="Times New Roman"/>
                      <w:sz w:val="14"/>
                      <w:szCs w:val="14"/>
                      <w:shd w:val="clear" w:color="auto" w:fill="FFFFFF"/>
                    </w:rPr>
                    <w:t>6</w:t>
                  </w:r>
                </w:p>
              </w:tc>
            </w:tr>
            <w:tr w:rsidR="004E7D95" w:rsidRPr="004E7D95" w:rsidTr="004E7D95">
              <w:trPr>
                <w:trHeight w:hRule="exact" w:val="675"/>
              </w:trPr>
              <w:tc>
                <w:tcPr>
                  <w:tcW w:w="2219" w:type="dxa"/>
                  <w:tcBorders>
                    <w:top w:val="single" w:sz="4" w:space="0" w:color="auto"/>
                    <w:left w:val="single" w:sz="4" w:space="0" w:color="auto"/>
                    <w:bottom w:val="single" w:sz="4" w:space="0" w:color="auto"/>
                    <w:right w:val="single" w:sz="4" w:space="0" w:color="auto"/>
                  </w:tcBorders>
                  <w:vAlign w:val="center"/>
                </w:tcPr>
                <w:p w:rsidR="004E7D95" w:rsidRPr="004E7D95" w:rsidRDefault="004E7D95" w:rsidP="00565763">
                  <w:pPr>
                    <w:widowControl w:val="0"/>
                    <w:spacing w:before="20" w:after="0" w:line="240" w:lineRule="auto"/>
                    <w:rPr>
                      <w:rFonts w:ascii="Times New Roman" w:eastAsia="Calibri" w:hAnsi="Times New Roman" w:cs="Times New Roman"/>
                      <w:b/>
                      <w:bCs/>
                      <w:sz w:val="14"/>
                      <w:szCs w:val="14"/>
                      <w:lang w:eastAsia="en-US"/>
                    </w:rPr>
                  </w:pPr>
                  <w:r w:rsidRPr="004E7D95">
                    <w:rPr>
                      <w:rFonts w:ascii="Times New Roman" w:eastAsia="Calibri" w:hAnsi="Times New Roman" w:cs="Times New Roman"/>
                      <w:b/>
                      <w:bCs/>
                      <w:sz w:val="14"/>
                      <w:szCs w:val="14"/>
                      <w:lang w:eastAsia="en-US"/>
                    </w:rPr>
                    <w:t>Проценты по государственным кредитам</w:t>
                  </w:r>
                  <w:r w:rsidRPr="004E7D95">
                    <w:rPr>
                      <w:rFonts w:ascii="Times New Roman" w:eastAsia="Calibri" w:hAnsi="Times New Roman" w:cs="Times New Roman"/>
                      <w:b/>
                      <w:bCs/>
                      <w:sz w:val="14"/>
                      <w:szCs w:val="14"/>
                      <w:lang w:eastAsia="en-US"/>
                    </w:rPr>
                    <w:br/>
                    <w:t>092 1 11 04000 00 0000 120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b/>
                      <w:bCs/>
                      <w:sz w:val="14"/>
                      <w:szCs w:val="14"/>
                      <w:lang w:eastAsia="en-US"/>
                    </w:rPr>
                  </w:pPr>
                  <w:r w:rsidRPr="004E7D95">
                    <w:rPr>
                      <w:rFonts w:ascii="Times New Roman" w:eastAsia="Calibri" w:hAnsi="Times New Roman" w:cs="Times New Roman"/>
                      <w:b/>
                      <w:bCs/>
                      <w:sz w:val="14"/>
                      <w:szCs w:val="14"/>
                      <w:lang w:eastAsia="en-US"/>
                    </w:rPr>
                    <w:t>69 099,2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b/>
                      <w:bCs/>
                      <w:sz w:val="14"/>
                      <w:szCs w:val="14"/>
                      <w:lang w:eastAsia="en-US"/>
                    </w:rPr>
                  </w:pPr>
                  <w:r w:rsidRPr="004E7D95">
                    <w:rPr>
                      <w:rFonts w:ascii="Times New Roman" w:eastAsia="Calibri" w:hAnsi="Times New Roman" w:cs="Times New Roman"/>
                      <w:b/>
                      <w:bCs/>
                      <w:sz w:val="14"/>
                      <w:szCs w:val="14"/>
                      <w:lang w:eastAsia="en-US"/>
                    </w:rPr>
                    <w:t>52 339,3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b/>
                      <w:bCs/>
                      <w:sz w:val="14"/>
                      <w:szCs w:val="14"/>
                      <w:lang w:eastAsia="en-US"/>
                    </w:rPr>
                  </w:pPr>
                  <w:r w:rsidRPr="004E7D95">
                    <w:rPr>
                      <w:rFonts w:ascii="Times New Roman" w:eastAsia="Calibri" w:hAnsi="Times New Roman" w:cs="Times New Roman"/>
                      <w:b/>
                      <w:bCs/>
                      <w:sz w:val="14"/>
                      <w:szCs w:val="14"/>
                      <w:lang w:eastAsia="en-US"/>
                    </w:rPr>
                    <w:t>- 16 759,9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b/>
                      <w:bCs/>
                      <w:sz w:val="14"/>
                      <w:szCs w:val="14"/>
                      <w:lang w:eastAsia="en-US"/>
                    </w:rPr>
                  </w:pPr>
                  <w:r w:rsidRPr="004E7D95">
                    <w:rPr>
                      <w:rFonts w:ascii="Times New Roman" w:eastAsia="Calibri" w:hAnsi="Times New Roman" w:cs="Times New Roman"/>
                      <w:b/>
                      <w:bCs/>
                      <w:sz w:val="14"/>
                      <w:szCs w:val="14"/>
                      <w:lang w:eastAsia="en-US"/>
                    </w:rPr>
                    <w:t>75,8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E7D95" w:rsidRPr="004E7D95" w:rsidRDefault="004E7D95" w:rsidP="00565763">
                  <w:pPr>
                    <w:widowControl w:val="0"/>
                    <w:spacing w:before="20" w:after="0" w:line="240" w:lineRule="auto"/>
                    <w:rPr>
                      <w:rFonts w:ascii="Times New Roman" w:eastAsia="Calibri" w:hAnsi="Times New Roman" w:cs="Times New Roman"/>
                      <w:b/>
                      <w:bCs/>
                      <w:sz w:val="14"/>
                      <w:szCs w:val="14"/>
                      <w:lang w:eastAsia="en-US"/>
                    </w:rPr>
                  </w:pPr>
                </w:p>
              </w:tc>
            </w:tr>
            <w:tr w:rsidR="004E7D95" w:rsidRPr="004E7D95" w:rsidTr="004E7D95">
              <w:trPr>
                <w:trHeight w:hRule="exact" w:val="1225"/>
              </w:trPr>
              <w:tc>
                <w:tcPr>
                  <w:tcW w:w="221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 xml:space="preserve">Проценты по государственным кредитам, предоставленным Российской Федерацией правительствам иностранных государств, их юридическим лицам </w:t>
                  </w:r>
                </w:p>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092 1 11 04010 01 0003 120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68 996,4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52 134,4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- 16 862,0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75,6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both"/>
                    <w:rPr>
                      <w:rFonts w:ascii="Times New Roman" w:eastAsia="Calibri" w:hAnsi="Times New Roman" w:cs="Times New Roman"/>
                      <w:sz w:val="14"/>
                      <w:szCs w:val="14"/>
                      <w:lang w:eastAsia="en-US"/>
                    </w:rPr>
                  </w:pPr>
                  <w:r w:rsidRPr="004E7D95">
                    <w:rPr>
                      <w:rFonts w:ascii="Times New Roman" w:eastAsia="Calibri" w:hAnsi="Times New Roman" w:cs="Times New Roman"/>
                      <w:spacing w:val="4"/>
                      <w:sz w:val="14"/>
                      <w:szCs w:val="14"/>
                      <w:lang w:eastAsia="en-US"/>
                    </w:rPr>
                    <w:t>Связано с н</w:t>
                  </w:r>
                  <w:r w:rsidRPr="004E7D95">
                    <w:rPr>
                      <w:rFonts w:ascii="Times New Roman" w:eastAsia="Calibri" w:hAnsi="Times New Roman" w:cs="Times New Roman"/>
                      <w:spacing w:val="4"/>
                      <w:sz w:val="14"/>
                      <w:szCs w:val="14"/>
                    </w:rPr>
                    <w:t>евыполнением иностранными заемщиками обязательств перед Российской Федерацией.</w:t>
                  </w:r>
                </w:p>
              </w:tc>
            </w:tr>
            <w:tr w:rsidR="004E7D95" w:rsidRPr="004E7D95" w:rsidTr="004E7D95">
              <w:trPr>
                <w:trHeight w:hRule="exact" w:val="1038"/>
              </w:trPr>
              <w:tc>
                <w:tcPr>
                  <w:tcW w:w="221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Проценты по кредитам, предоставленным Российской Федерацией за счет связанных кредитов иностранных государств, иностранных юридических лиц</w:t>
                  </w:r>
                </w:p>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092 1 11 04020 01 0000 120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99,3</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99,1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- 0,2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99,8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both"/>
                    <w:rPr>
                      <w:rFonts w:ascii="Times New Roman" w:eastAsia="Calibri" w:hAnsi="Times New Roman" w:cs="Times New Roman"/>
                      <w:sz w:val="14"/>
                      <w:szCs w:val="14"/>
                      <w:lang w:eastAsia="en-US"/>
                    </w:rPr>
                  </w:pPr>
                  <w:r w:rsidRPr="004E7D95">
                    <w:rPr>
                      <w:rFonts w:ascii="Times New Roman" w:eastAsia="Calibri" w:hAnsi="Times New Roman" w:cs="Times New Roman"/>
                      <w:bCs/>
                      <w:spacing w:val="4"/>
                      <w:sz w:val="14"/>
                      <w:szCs w:val="14"/>
                      <w:lang w:eastAsia="en-US"/>
                    </w:rPr>
                    <w:t>Связано с курсовой разницей и погашением просроченной задолженности по процентам.</w:t>
                  </w:r>
                </w:p>
              </w:tc>
            </w:tr>
            <w:tr w:rsidR="004E7D95" w:rsidRPr="004E7D95" w:rsidTr="004E7D95">
              <w:trPr>
                <w:trHeight w:hRule="exact" w:val="849"/>
              </w:trPr>
              <w:tc>
                <w:tcPr>
                  <w:tcW w:w="221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Проценты по кредитам, предоставленным Российской Федерацией за счет кредитов МФО</w:t>
                  </w:r>
                </w:p>
                <w:p w:rsidR="004E7D95" w:rsidRPr="004E7D95" w:rsidRDefault="004E7D95" w:rsidP="00565763">
                  <w:pPr>
                    <w:widowControl w:val="0"/>
                    <w:spacing w:before="20" w:after="0" w:line="240" w:lineRule="auto"/>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 xml:space="preserve"> 092 1 11 04030 01 0000 120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3,5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- 0,2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center"/>
                    <w:rPr>
                      <w:rFonts w:ascii="Times New Roman" w:eastAsia="Calibri" w:hAnsi="Times New Roman" w:cs="Times New Roman"/>
                      <w:sz w:val="14"/>
                      <w:szCs w:val="14"/>
                      <w:lang w:eastAsia="en-US"/>
                    </w:rPr>
                  </w:pPr>
                  <w:r w:rsidRPr="004E7D95">
                    <w:rPr>
                      <w:rFonts w:ascii="Times New Roman" w:eastAsia="Calibri" w:hAnsi="Times New Roman" w:cs="Times New Roman"/>
                      <w:sz w:val="14"/>
                      <w:szCs w:val="14"/>
                      <w:lang w:eastAsia="en-US"/>
                    </w:rPr>
                    <w:t>94,5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E7D95" w:rsidRPr="004E7D95" w:rsidRDefault="004E7D95" w:rsidP="00565763">
                  <w:pPr>
                    <w:widowControl w:val="0"/>
                    <w:spacing w:before="20" w:after="0" w:line="240" w:lineRule="auto"/>
                    <w:jc w:val="both"/>
                    <w:rPr>
                      <w:rFonts w:ascii="Times New Roman" w:eastAsia="Calibri" w:hAnsi="Times New Roman" w:cs="Times New Roman"/>
                      <w:sz w:val="14"/>
                      <w:szCs w:val="14"/>
                      <w:lang w:eastAsia="en-US"/>
                    </w:rPr>
                  </w:pPr>
                  <w:r w:rsidRPr="004E7D95">
                    <w:rPr>
                      <w:rFonts w:ascii="Times New Roman" w:eastAsia="Calibri" w:hAnsi="Times New Roman" w:cs="Times New Roman"/>
                      <w:spacing w:val="4"/>
                      <w:sz w:val="14"/>
                      <w:szCs w:val="14"/>
                      <w:lang w:eastAsia="en-US"/>
                    </w:rPr>
                    <w:t xml:space="preserve">Связано с </w:t>
                  </w:r>
                  <w:r w:rsidRPr="004E7D95">
                    <w:rPr>
                      <w:rFonts w:ascii="Times New Roman" w:eastAsia="Calibri" w:hAnsi="Times New Roman" w:cs="Times New Roman"/>
                      <w:iCs/>
                      <w:spacing w:val="4"/>
                      <w:sz w:val="14"/>
                      <w:szCs w:val="14"/>
                      <w:lang w:eastAsia="en-US"/>
                    </w:rPr>
                    <w:t>изменением процентных ставок.</w:t>
                  </w:r>
                </w:p>
              </w:tc>
            </w:tr>
          </w:tbl>
          <w:p w:rsidR="001E5554" w:rsidRPr="004E7D95" w:rsidRDefault="001E5554" w:rsidP="004E7D95">
            <w:pPr>
              <w:ind w:firstLine="346"/>
              <w:jc w:val="both"/>
              <w:rPr>
                <w:rFonts w:ascii="Times New Roman" w:hAnsi="Times New Roman" w:cs="Times New Roman"/>
                <w:iCs/>
                <w:spacing w:val="-4"/>
                <w:sz w:val="19"/>
                <w:szCs w:val="19"/>
              </w:rPr>
            </w:pPr>
          </w:p>
        </w:tc>
      </w:tr>
      <w:tr w:rsidR="00BE3CE8" w:rsidRPr="00BE3CE8" w:rsidTr="00BE3CE8">
        <w:trPr>
          <w:trHeight w:val="1492"/>
        </w:trPr>
        <w:tc>
          <w:tcPr>
            <w:tcW w:w="3056" w:type="dxa"/>
            <w:vAlign w:val="center"/>
          </w:tcPr>
          <w:p w:rsidR="00BE3CE8" w:rsidRPr="00BE3CE8" w:rsidRDefault="00BE3CE8" w:rsidP="00BE3CE8">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sidRPr="00BE3CE8">
              <w:rPr>
                <w:rFonts w:ascii="Times New Roman" w:hAnsi="Times New Roman" w:cs="Times New Roman"/>
                <w:b/>
                <w:iCs/>
                <w:spacing w:val="-4"/>
                <w:sz w:val="19"/>
                <w:szCs w:val="19"/>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p w:rsidR="001E5554" w:rsidRPr="00BE3CE8" w:rsidRDefault="00BE3CE8" w:rsidP="00BE3CE8">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BE3CE8">
              <w:rPr>
                <w:rFonts w:ascii="Times New Roman" w:hAnsi="Times New Roman" w:cs="Times New Roman"/>
                <w:iCs/>
                <w:spacing w:val="-4"/>
                <w:sz w:val="19"/>
                <w:szCs w:val="19"/>
              </w:rPr>
              <w:t>(КБК 092 1 11 05031 01 0000 120)</w:t>
            </w:r>
          </w:p>
        </w:tc>
        <w:tc>
          <w:tcPr>
            <w:tcW w:w="6975" w:type="dxa"/>
          </w:tcPr>
          <w:p w:rsidR="00BE3CE8" w:rsidRPr="00BE3CE8" w:rsidRDefault="00BE3CE8" w:rsidP="00BE3CE8">
            <w:pPr>
              <w:ind w:firstLine="346"/>
              <w:jc w:val="both"/>
              <w:rPr>
                <w:rFonts w:ascii="Times New Roman" w:hAnsi="Times New Roman" w:cs="Times New Roman"/>
                <w:iCs/>
                <w:spacing w:val="-4"/>
                <w:sz w:val="19"/>
                <w:szCs w:val="19"/>
              </w:rPr>
            </w:pPr>
            <w:r w:rsidRPr="00BE3CE8">
              <w:rPr>
                <w:rFonts w:ascii="Times New Roman" w:hAnsi="Times New Roman" w:cs="Times New Roman"/>
                <w:iCs/>
                <w:spacing w:val="-4"/>
                <w:sz w:val="19"/>
                <w:szCs w:val="19"/>
              </w:rPr>
              <w:t>Прогноз Минфином России сформирован в сумме 63,3 млн. рублей.</w:t>
            </w:r>
          </w:p>
          <w:p w:rsidR="00BE3CE8" w:rsidRPr="00BE3CE8" w:rsidRDefault="00BE3CE8" w:rsidP="00BE3CE8">
            <w:pPr>
              <w:ind w:firstLine="346"/>
              <w:jc w:val="both"/>
              <w:rPr>
                <w:rFonts w:ascii="Times New Roman" w:hAnsi="Times New Roman" w:cs="Times New Roman"/>
                <w:iCs/>
                <w:spacing w:val="-4"/>
                <w:sz w:val="19"/>
                <w:szCs w:val="19"/>
              </w:rPr>
            </w:pPr>
            <w:r w:rsidRPr="00BE3CE8">
              <w:rPr>
                <w:rFonts w:ascii="Times New Roman" w:hAnsi="Times New Roman" w:cs="Times New Roman"/>
                <w:iCs/>
                <w:spacing w:val="-4"/>
                <w:sz w:val="19"/>
                <w:szCs w:val="19"/>
              </w:rPr>
              <w:t>Поступления по указанному доходному источнику составили 113,0 млн. рублей, что на 49,8 млн. рублей или в 1,8 раза больше прогноза, учтенного в Федеральном законе № 385-ФЗ, что обусловлено продлением срока аренды помещений в г. Москве ПАО АК «АЛРОСА».</w:t>
            </w:r>
          </w:p>
          <w:p w:rsidR="001E5554" w:rsidRPr="00BE3CE8" w:rsidRDefault="001E5554" w:rsidP="00BE3CE8">
            <w:pPr>
              <w:ind w:firstLine="346"/>
              <w:jc w:val="both"/>
              <w:rPr>
                <w:rFonts w:ascii="Times New Roman" w:hAnsi="Times New Roman" w:cs="Times New Roman"/>
                <w:iCs/>
                <w:spacing w:val="-4"/>
                <w:sz w:val="19"/>
                <w:szCs w:val="19"/>
              </w:rPr>
            </w:pPr>
          </w:p>
        </w:tc>
      </w:tr>
      <w:tr w:rsidR="00BE3CE8" w:rsidRPr="00BE3CE8" w:rsidTr="00D50EE7">
        <w:tc>
          <w:tcPr>
            <w:tcW w:w="3056" w:type="dxa"/>
            <w:vAlign w:val="center"/>
          </w:tcPr>
          <w:p w:rsidR="00BE3CE8" w:rsidRPr="00BE3CE8" w:rsidRDefault="00086C3D" w:rsidP="00BE3CE8">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Pr>
                <w:rFonts w:ascii="Times New Roman" w:hAnsi="Times New Roman" w:cs="Times New Roman"/>
                <w:b/>
                <w:iCs/>
                <w:spacing w:val="-4"/>
                <w:sz w:val="19"/>
                <w:szCs w:val="19"/>
              </w:rPr>
              <w:t>Д</w:t>
            </w:r>
            <w:r w:rsidR="00BE3CE8" w:rsidRPr="00BE3CE8">
              <w:rPr>
                <w:rFonts w:ascii="Times New Roman" w:hAnsi="Times New Roman" w:cs="Times New Roman"/>
                <w:b/>
                <w:iCs/>
                <w:spacing w:val="-4"/>
                <w:sz w:val="19"/>
                <w:szCs w:val="19"/>
              </w:rPr>
              <w:t>оход</w:t>
            </w:r>
            <w:r>
              <w:rPr>
                <w:rFonts w:ascii="Times New Roman" w:hAnsi="Times New Roman" w:cs="Times New Roman"/>
                <w:b/>
                <w:iCs/>
                <w:spacing w:val="-4"/>
                <w:sz w:val="19"/>
                <w:szCs w:val="19"/>
              </w:rPr>
              <w:t>ы</w:t>
            </w:r>
            <w:r w:rsidR="00BE3CE8" w:rsidRPr="00BE3CE8">
              <w:rPr>
                <w:rFonts w:ascii="Times New Roman" w:hAnsi="Times New Roman" w:cs="Times New Roman"/>
                <w:b/>
                <w:iCs/>
                <w:spacing w:val="-4"/>
                <w:sz w:val="19"/>
                <w:szCs w:val="19"/>
              </w:rPr>
              <w:t xml:space="preserve"> от перечисления части прибыли Центрального банка Российской Федерации</w:t>
            </w:r>
          </w:p>
          <w:p w:rsidR="001E5554" w:rsidRPr="00BE3CE8" w:rsidRDefault="00BE3CE8" w:rsidP="00BE3CE8">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BE3CE8">
              <w:rPr>
                <w:rFonts w:ascii="Times New Roman" w:hAnsi="Times New Roman" w:cs="Times New Roman"/>
                <w:iCs/>
                <w:spacing w:val="-4"/>
                <w:sz w:val="19"/>
                <w:szCs w:val="19"/>
              </w:rPr>
              <w:t>(КБК 092 1 11 06000 01 0000 120)</w:t>
            </w:r>
          </w:p>
        </w:tc>
        <w:tc>
          <w:tcPr>
            <w:tcW w:w="6975" w:type="dxa"/>
          </w:tcPr>
          <w:p w:rsidR="00E72E8D" w:rsidRPr="00BE3CE8" w:rsidRDefault="00BE3CE8" w:rsidP="007B2F83">
            <w:pPr>
              <w:ind w:firstLine="346"/>
              <w:jc w:val="both"/>
              <w:rPr>
                <w:rFonts w:ascii="Times New Roman" w:hAnsi="Times New Roman" w:cs="Times New Roman"/>
                <w:iCs/>
                <w:spacing w:val="-4"/>
                <w:sz w:val="19"/>
                <w:szCs w:val="19"/>
              </w:rPr>
            </w:pPr>
            <w:r w:rsidRPr="00BE3CE8">
              <w:rPr>
                <w:rFonts w:ascii="Times New Roman" w:hAnsi="Times New Roman" w:cs="Times New Roman"/>
                <w:iCs/>
                <w:spacing w:val="-4"/>
                <w:sz w:val="19"/>
                <w:szCs w:val="19"/>
              </w:rPr>
              <w:t>Прогноз на 2021 год не устанавливался. В связи с формированием у Банка России по итогам 2020 года убытков, перечисление в доход федерального бюджета сре</w:t>
            </w:r>
            <w:proofErr w:type="gramStart"/>
            <w:r w:rsidRPr="00BE3CE8">
              <w:rPr>
                <w:rFonts w:ascii="Times New Roman" w:hAnsi="Times New Roman" w:cs="Times New Roman"/>
                <w:iCs/>
                <w:spacing w:val="-4"/>
                <w:sz w:val="19"/>
                <w:szCs w:val="19"/>
              </w:rPr>
              <w:t>дств в с</w:t>
            </w:r>
            <w:proofErr w:type="gramEnd"/>
            <w:r w:rsidRPr="00BE3CE8">
              <w:rPr>
                <w:rFonts w:ascii="Times New Roman" w:hAnsi="Times New Roman" w:cs="Times New Roman"/>
                <w:iCs/>
                <w:spacing w:val="-4"/>
                <w:sz w:val="19"/>
                <w:szCs w:val="19"/>
              </w:rPr>
              <w:t>оответствии со статьей 26 Федерального закона от 10 июля 2002 г. № 86-ФЗ «О Центральном банке Российской Федерации (Банке России)» Банком России в 2021</w:t>
            </w:r>
            <w:r>
              <w:rPr>
                <w:rFonts w:ascii="Times New Roman" w:hAnsi="Times New Roman" w:cs="Times New Roman"/>
                <w:iCs/>
                <w:spacing w:val="-4"/>
                <w:sz w:val="19"/>
                <w:szCs w:val="19"/>
              </w:rPr>
              <w:t> </w:t>
            </w:r>
            <w:r w:rsidRPr="00BE3CE8">
              <w:rPr>
                <w:rFonts w:ascii="Times New Roman" w:hAnsi="Times New Roman" w:cs="Times New Roman"/>
                <w:iCs/>
                <w:spacing w:val="-4"/>
                <w:sz w:val="19"/>
                <w:szCs w:val="19"/>
              </w:rPr>
              <w:t xml:space="preserve">году не осуществлялось. В 2020 году поступления указанных доходов также отсутствовали в связи с получением убытков по итогам работы за 2019 год. </w:t>
            </w:r>
          </w:p>
        </w:tc>
      </w:tr>
      <w:tr w:rsidR="00BE3CE8" w:rsidRPr="00BE3CE8" w:rsidTr="00D50EE7">
        <w:tc>
          <w:tcPr>
            <w:tcW w:w="3056" w:type="dxa"/>
            <w:vAlign w:val="center"/>
          </w:tcPr>
          <w:p w:rsidR="007B2F83" w:rsidRPr="007B2F83" w:rsidRDefault="007B2F83" w:rsidP="007B2F83">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sidRPr="007B2F83">
              <w:rPr>
                <w:rFonts w:ascii="Times New Roman" w:hAnsi="Times New Roman" w:cs="Times New Roman"/>
                <w:b/>
                <w:iCs/>
                <w:spacing w:val="-4"/>
                <w:sz w:val="19"/>
                <w:szCs w:val="19"/>
              </w:rPr>
              <w:t>Д</w:t>
            </w:r>
            <w:r w:rsidR="00BE3CE8" w:rsidRPr="007B2F83">
              <w:rPr>
                <w:rFonts w:ascii="Times New Roman" w:hAnsi="Times New Roman" w:cs="Times New Roman"/>
                <w:b/>
                <w:iCs/>
                <w:spacing w:val="-4"/>
                <w:sz w:val="19"/>
                <w:szCs w:val="19"/>
              </w:rPr>
              <w:t>оход</w:t>
            </w:r>
            <w:r w:rsidRPr="007B2F83">
              <w:rPr>
                <w:rFonts w:ascii="Times New Roman" w:hAnsi="Times New Roman" w:cs="Times New Roman"/>
                <w:b/>
                <w:iCs/>
                <w:spacing w:val="-4"/>
                <w:sz w:val="19"/>
                <w:szCs w:val="19"/>
              </w:rPr>
              <w:t>ы</w:t>
            </w:r>
            <w:r w:rsidR="00BE3CE8" w:rsidRPr="007B2F83">
              <w:rPr>
                <w:rFonts w:ascii="Times New Roman" w:hAnsi="Times New Roman" w:cs="Times New Roman"/>
                <w:b/>
                <w:iCs/>
                <w:spacing w:val="-4"/>
                <w:sz w:val="19"/>
                <w:szCs w:val="19"/>
              </w:rPr>
              <w:t xml:space="preserve"> от перечисления части прибыли, остающейся после уплаты налогов и иных обязательных платежей федеральных государственных унитарных предприятий</w:t>
            </w:r>
          </w:p>
          <w:p w:rsidR="001E5554" w:rsidRPr="007B2F83" w:rsidRDefault="00BE3CE8" w:rsidP="007B2F83">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7B2F83">
              <w:rPr>
                <w:rFonts w:ascii="Times New Roman" w:hAnsi="Times New Roman" w:cs="Times New Roman"/>
                <w:iCs/>
                <w:spacing w:val="-4"/>
                <w:sz w:val="19"/>
                <w:szCs w:val="19"/>
              </w:rPr>
              <w:t>(КБК 092 1 11 07011 01 0000 120)</w:t>
            </w:r>
          </w:p>
        </w:tc>
        <w:tc>
          <w:tcPr>
            <w:tcW w:w="6975" w:type="dxa"/>
          </w:tcPr>
          <w:p w:rsidR="007B2F83" w:rsidRDefault="007B2F83" w:rsidP="007B2F83">
            <w:pPr>
              <w:ind w:firstLine="346"/>
              <w:jc w:val="both"/>
              <w:rPr>
                <w:rFonts w:ascii="Times New Roman" w:hAnsi="Times New Roman" w:cs="Times New Roman"/>
                <w:iCs/>
                <w:spacing w:val="-4"/>
                <w:sz w:val="19"/>
                <w:szCs w:val="19"/>
              </w:rPr>
            </w:pPr>
            <w:r w:rsidRPr="007B2F83">
              <w:rPr>
                <w:rFonts w:ascii="Times New Roman" w:hAnsi="Times New Roman" w:cs="Times New Roman"/>
                <w:iCs/>
                <w:spacing w:val="-4"/>
                <w:sz w:val="19"/>
                <w:szCs w:val="19"/>
              </w:rPr>
              <w:t>Прогноз не установлен.</w:t>
            </w:r>
          </w:p>
          <w:p w:rsidR="00E72E8D" w:rsidRPr="007B2F83" w:rsidRDefault="007B2F83" w:rsidP="007B2F83">
            <w:pPr>
              <w:ind w:firstLine="346"/>
              <w:jc w:val="both"/>
              <w:rPr>
                <w:rFonts w:ascii="Times New Roman" w:hAnsi="Times New Roman" w:cs="Times New Roman"/>
                <w:iCs/>
                <w:spacing w:val="-4"/>
                <w:sz w:val="19"/>
                <w:szCs w:val="19"/>
              </w:rPr>
            </w:pPr>
            <w:proofErr w:type="gramStart"/>
            <w:r w:rsidRPr="007B2F83">
              <w:rPr>
                <w:rFonts w:ascii="Times New Roman" w:hAnsi="Times New Roman" w:cs="Times New Roman"/>
                <w:iCs/>
                <w:spacing w:val="-4"/>
                <w:sz w:val="19"/>
                <w:szCs w:val="19"/>
              </w:rPr>
              <w:t>Фактические поступления в 2021 году в бюджет отсутствуют, что связано с преобразованием ФГУП «В/О «Алмазювелирэкспорт» в акционерное общество «Внешнеэкономическое объединение «Алмазювелирэкспорт» (далее – АО «В/О «Алмазювелирэкспорт»), 100 процентов акций которого находится в федеральной собственности (в соответствии с Указом Президента Российской Федерации от 21</w:t>
            </w:r>
            <w:r>
              <w:rPr>
                <w:rFonts w:ascii="Times New Roman" w:hAnsi="Times New Roman" w:cs="Times New Roman"/>
                <w:iCs/>
                <w:spacing w:val="-4"/>
                <w:sz w:val="19"/>
                <w:szCs w:val="19"/>
              </w:rPr>
              <w:t> </w:t>
            </w:r>
            <w:r w:rsidRPr="007B2F83">
              <w:rPr>
                <w:rFonts w:ascii="Times New Roman" w:hAnsi="Times New Roman" w:cs="Times New Roman"/>
                <w:iCs/>
                <w:spacing w:val="-4"/>
                <w:sz w:val="19"/>
                <w:szCs w:val="19"/>
              </w:rPr>
              <w:t>августа 2017 г. № 389 «Об акционерном обществе «Внешнеэкономическое объединение «Алмазювелирэкспорт», Распоряжением Правительства Российской Федерации от 2</w:t>
            </w:r>
            <w:proofErr w:type="gramEnd"/>
            <w:r w:rsidRPr="007B2F83">
              <w:rPr>
                <w:rFonts w:ascii="Times New Roman" w:hAnsi="Times New Roman" w:cs="Times New Roman"/>
                <w:iCs/>
                <w:spacing w:val="-4"/>
                <w:sz w:val="19"/>
                <w:szCs w:val="19"/>
              </w:rPr>
              <w:t xml:space="preserve"> сентября 2017 г. № 1901-р и Распоряжением ТУ </w:t>
            </w:r>
            <w:proofErr w:type="spellStart"/>
            <w:r w:rsidRPr="007B2F83">
              <w:rPr>
                <w:rFonts w:ascii="Times New Roman" w:hAnsi="Times New Roman" w:cs="Times New Roman"/>
                <w:iCs/>
                <w:spacing w:val="-4"/>
                <w:sz w:val="19"/>
                <w:szCs w:val="19"/>
              </w:rPr>
              <w:t>Росимущества</w:t>
            </w:r>
            <w:proofErr w:type="spellEnd"/>
            <w:r w:rsidRPr="007B2F83">
              <w:rPr>
                <w:rFonts w:ascii="Times New Roman" w:hAnsi="Times New Roman" w:cs="Times New Roman"/>
                <w:iCs/>
                <w:spacing w:val="-4"/>
                <w:sz w:val="19"/>
                <w:szCs w:val="19"/>
              </w:rPr>
              <w:t xml:space="preserve"> в </w:t>
            </w:r>
            <w:r w:rsidRPr="007B2F83">
              <w:rPr>
                <w:rFonts w:ascii="Times New Roman" w:hAnsi="Times New Roman" w:cs="Times New Roman"/>
                <w:iCs/>
                <w:spacing w:val="-4"/>
                <w:sz w:val="19"/>
                <w:szCs w:val="19"/>
              </w:rPr>
              <w:lastRenderedPageBreak/>
              <w:t>г.</w:t>
            </w:r>
            <w:r>
              <w:rPr>
                <w:rFonts w:ascii="Times New Roman" w:hAnsi="Times New Roman" w:cs="Times New Roman"/>
                <w:iCs/>
                <w:spacing w:val="-4"/>
                <w:sz w:val="19"/>
                <w:szCs w:val="19"/>
              </w:rPr>
              <w:t> </w:t>
            </w:r>
            <w:r w:rsidRPr="007B2F83">
              <w:rPr>
                <w:rFonts w:ascii="Times New Roman" w:hAnsi="Times New Roman" w:cs="Times New Roman"/>
                <w:iCs/>
                <w:spacing w:val="-4"/>
                <w:sz w:val="19"/>
                <w:szCs w:val="19"/>
              </w:rPr>
              <w:t xml:space="preserve">Москве от 27 декабря 2018 г. № 1701). </w:t>
            </w:r>
          </w:p>
        </w:tc>
      </w:tr>
      <w:tr w:rsidR="00BE3CE8" w:rsidRPr="00BE3CE8" w:rsidTr="00D50EE7">
        <w:tc>
          <w:tcPr>
            <w:tcW w:w="3056" w:type="dxa"/>
            <w:vAlign w:val="center"/>
          </w:tcPr>
          <w:p w:rsidR="007B2F83" w:rsidRPr="007B2F83" w:rsidRDefault="007B2F83" w:rsidP="007B2F83">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sidRPr="007B2F83">
              <w:rPr>
                <w:rFonts w:ascii="Times New Roman" w:hAnsi="Times New Roman" w:cs="Times New Roman"/>
                <w:b/>
                <w:iCs/>
                <w:spacing w:val="-4"/>
                <w:sz w:val="19"/>
                <w:szCs w:val="19"/>
              </w:rPr>
              <w:lastRenderedPageBreak/>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w:t>
            </w:r>
            <w:proofErr w:type="gramStart"/>
            <w:r w:rsidRPr="007B2F83">
              <w:rPr>
                <w:rFonts w:ascii="Times New Roman" w:hAnsi="Times New Roman" w:cs="Times New Roman"/>
                <w:b/>
                <w:iCs/>
                <w:spacing w:val="-4"/>
                <w:sz w:val="19"/>
                <w:szCs w:val="19"/>
              </w:rPr>
              <w:t>распоряжения</w:t>
            </w:r>
            <w:proofErr w:type="gramEnd"/>
            <w:r w:rsidRPr="007B2F83">
              <w:rPr>
                <w:rFonts w:ascii="Times New Roman" w:hAnsi="Times New Roman" w:cs="Times New Roman"/>
                <w:b/>
                <w:iCs/>
                <w:spacing w:val="-4"/>
                <w:sz w:val="19"/>
                <w:szCs w:val="19"/>
              </w:rPr>
              <w:t xml:space="preserve"> которым в соответствии с законодательством Российской Федерации предоставлено федеральным казенным учреждениям)</w:t>
            </w:r>
          </w:p>
          <w:p w:rsidR="001E5554" w:rsidRPr="007B2F83" w:rsidRDefault="007B2F83" w:rsidP="007B2F83">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7B2F83">
              <w:rPr>
                <w:rFonts w:ascii="Times New Roman" w:hAnsi="Times New Roman" w:cs="Times New Roman"/>
                <w:iCs/>
                <w:spacing w:val="-4"/>
                <w:sz w:val="19"/>
                <w:szCs w:val="19"/>
              </w:rPr>
              <w:t>(КБК 092 1 11 09041 01 0000 120)</w:t>
            </w:r>
          </w:p>
        </w:tc>
        <w:tc>
          <w:tcPr>
            <w:tcW w:w="6975" w:type="dxa"/>
          </w:tcPr>
          <w:p w:rsidR="007B2F83" w:rsidRPr="007B2F83" w:rsidRDefault="007B2F83" w:rsidP="007B2F83">
            <w:pPr>
              <w:ind w:firstLine="346"/>
              <w:jc w:val="both"/>
              <w:rPr>
                <w:rFonts w:ascii="Times New Roman" w:hAnsi="Times New Roman" w:cs="Times New Roman"/>
                <w:iCs/>
                <w:spacing w:val="-4"/>
                <w:sz w:val="19"/>
                <w:szCs w:val="19"/>
              </w:rPr>
            </w:pPr>
            <w:r w:rsidRPr="007B2F83">
              <w:rPr>
                <w:rFonts w:ascii="Times New Roman" w:hAnsi="Times New Roman" w:cs="Times New Roman"/>
                <w:iCs/>
                <w:spacing w:val="-4"/>
                <w:sz w:val="19"/>
                <w:szCs w:val="19"/>
              </w:rPr>
              <w:t xml:space="preserve">Прогноз установлен в сумме 18,5 млн. рублей. </w:t>
            </w:r>
          </w:p>
          <w:p w:rsidR="007B2F83" w:rsidRPr="007B2F83" w:rsidRDefault="007B2F83" w:rsidP="007B2F83">
            <w:pPr>
              <w:ind w:firstLine="346"/>
              <w:jc w:val="both"/>
              <w:rPr>
                <w:rFonts w:ascii="Times New Roman" w:hAnsi="Times New Roman" w:cs="Times New Roman"/>
                <w:iCs/>
                <w:spacing w:val="-4"/>
                <w:sz w:val="19"/>
                <w:szCs w:val="19"/>
              </w:rPr>
            </w:pPr>
            <w:r w:rsidRPr="007B2F83">
              <w:rPr>
                <w:rFonts w:ascii="Times New Roman" w:hAnsi="Times New Roman" w:cs="Times New Roman"/>
                <w:iCs/>
                <w:spacing w:val="-4"/>
                <w:sz w:val="19"/>
                <w:szCs w:val="19"/>
              </w:rPr>
              <w:t>Поступления по указанному доходному источнику составили 9 769,8 млн. рублей, что на 9 751,4 млн. рублей больше прогноза, учтенного в Федеральном законе № 385-ФЗ.</w:t>
            </w:r>
          </w:p>
          <w:p w:rsidR="007B2F83" w:rsidRPr="007B2F83" w:rsidRDefault="007B2F83" w:rsidP="007B2F83">
            <w:pPr>
              <w:ind w:firstLine="346"/>
              <w:jc w:val="both"/>
              <w:rPr>
                <w:rFonts w:ascii="Times New Roman" w:hAnsi="Times New Roman" w:cs="Times New Roman"/>
                <w:iCs/>
                <w:spacing w:val="-4"/>
                <w:sz w:val="19"/>
                <w:szCs w:val="19"/>
              </w:rPr>
            </w:pPr>
            <w:r w:rsidRPr="007B2F83">
              <w:rPr>
                <w:rFonts w:ascii="Times New Roman" w:hAnsi="Times New Roman" w:cs="Times New Roman"/>
                <w:iCs/>
                <w:spacing w:val="-4"/>
                <w:sz w:val="19"/>
                <w:szCs w:val="19"/>
              </w:rPr>
              <w:t xml:space="preserve">Значительное перевыполнение обусловлено поступлением процентов по субординированному кредиту ПАО «Сбербанк», права </w:t>
            </w:r>
            <w:proofErr w:type="gramStart"/>
            <w:r w:rsidRPr="007B2F83">
              <w:rPr>
                <w:rFonts w:ascii="Times New Roman" w:hAnsi="Times New Roman" w:cs="Times New Roman"/>
                <w:iCs/>
                <w:spacing w:val="-4"/>
                <w:sz w:val="19"/>
                <w:szCs w:val="19"/>
              </w:rPr>
              <w:t>требований</w:t>
            </w:r>
            <w:proofErr w:type="gramEnd"/>
            <w:r w:rsidRPr="007B2F83">
              <w:rPr>
                <w:rFonts w:ascii="Times New Roman" w:hAnsi="Times New Roman" w:cs="Times New Roman"/>
                <w:iCs/>
                <w:spacing w:val="-4"/>
                <w:sz w:val="19"/>
                <w:szCs w:val="19"/>
              </w:rPr>
              <w:t xml:space="preserve"> по которому в сумме 150,0 млрд. рублей приняты Минфином России в казну Российской Федерации в 2020 году (в соответствии с Федеральным законом от 18 марта 2020 г. № 49-ФЗ «О перечислении части доходов, полученных Центральным банком Российской Федерации от продажи обыкновенных акций публичного акционерного общества «Сбербанк России»). Следует отметить, что указанные доходы не прогнозировались в связи с правом ПАО «Сбербанк», обусловленным характером данного финансового инструмента, приостановить выплату процентов в случаях, установленных нормативными актами Банка России, а также отказаться от выплаты указанных процентов в одностороннем порядке. </w:t>
            </w:r>
          </w:p>
          <w:p w:rsidR="001E5554" w:rsidRPr="007B2F83" w:rsidRDefault="001E5554" w:rsidP="00377D8B">
            <w:pPr>
              <w:ind w:firstLine="346"/>
              <w:jc w:val="both"/>
              <w:rPr>
                <w:rFonts w:ascii="Times New Roman" w:hAnsi="Times New Roman" w:cs="Times New Roman"/>
                <w:iCs/>
                <w:spacing w:val="-4"/>
                <w:sz w:val="19"/>
                <w:szCs w:val="19"/>
              </w:rPr>
            </w:pPr>
          </w:p>
        </w:tc>
      </w:tr>
      <w:tr w:rsidR="00BE3CE8" w:rsidRPr="00BE3CE8" w:rsidTr="00D50EE7">
        <w:tc>
          <w:tcPr>
            <w:tcW w:w="3056" w:type="dxa"/>
            <w:vAlign w:val="center"/>
          </w:tcPr>
          <w:p w:rsidR="00337894" w:rsidRDefault="00337894" w:rsidP="00337894">
            <w:pPr>
              <w:widowControl w:val="0"/>
              <w:overflowPunct w:val="0"/>
              <w:autoSpaceDE w:val="0"/>
              <w:autoSpaceDN w:val="0"/>
              <w:adjustRightInd w:val="0"/>
              <w:jc w:val="both"/>
              <w:textAlignment w:val="baseline"/>
              <w:rPr>
                <w:rFonts w:ascii="Times New Roman" w:hAnsi="Times New Roman" w:cs="Times New Roman"/>
                <w:b/>
                <w:iCs/>
                <w:spacing w:val="-4"/>
                <w:sz w:val="19"/>
                <w:szCs w:val="19"/>
              </w:rPr>
            </w:pPr>
            <w:r w:rsidRPr="00337894">
              <w:rPr>
                <w:rFonts w:ascii="Times New Roman" w:hAnsi="Times New Roman" w:cs="Times New Roman"/>
                <w:b/>
                <w:iCs/>
                <w:spacing w:val="-4"/>
                <w:sz w:val="19"/>
                <w:szCs w:val="19"/>
              </w:rPr>
              <w:t>Целевые отчислениям от всероссийских государственных лотерей в поддержку развития спорта высших достижений и системы подготовки спортивного резерва</w:t>
            </w:r>
          </w:p>
          <w:p w:rsidR="001E5554" w:rsidRPr="00337894" w:rsidRDefault="00337894" w:rsidP="00337894">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337894">
              <w:rPr>
                <w:rFonts w:ascii="Times New Roman" w:hAnsi="Times New Roman" w:cs="Times New Roman"/>
                <w:iCs/>
                <w:spacing w:val="-4"/>
                <w:sz w:val="19"/>
                <w:szCs w:val="19"/>
              </w:rPr>
              <w:t>(КБК 092 1 11 12011 01 0000 120)</w:t>
            </w:r>
          </w:p>
        </w:tc>
        <w:tc>
          <w:tcPr>
            <w:tcW w:w="6975" w:type="dxa"/>
          </w:tcPr>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Прогноз установлен в сумме 97,3 млн. рублей. </w:t>
            </w:r>
          </w:p>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Поступления по указанному доходному источнику составили 256,5 млн. рублей, что на 159,2 млн. рублей, или в 2,6 раза больше прогноза, учтенного в Федеральном законе № 385-ФЗ. По сравнению с 2020 годом поступления увеличились в 2,8 раза.</w:t>
            </w:r>
          </w:p>
          <w:p w:rsidR="001E555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Поступление целевых отчислений в 2021 году осуществлялось в соответствии с дополнительными соглашениями от 9 марта 2017 г. № 12 и от 6 сентября 2019 г. № 15 к государственному контракту от 11 октября 2010 г. № 01-01-06/05-375, заключенному между Минфином России (Организатор лотереи) </w:t>
            </w:r>
            <w:proofErr w:type="gramStart"/>
            <w:r w:rsidRPr="00337894">
              <w:rPr>
                <w:rFonts w:ascii="Times New Roman" w:hAnsi="Times New Roman" w:cs="Times New Roman"/>
                <w:iCs/>
                <w:spacing w:val="-4"/>
                <w:sz w:val="19"/>
                <w:szCs w:val="19"/>
              </w:rPr>
              <w:t>и ООО</w:t>
            </w:r>
            <w:proofErr w:type="gramEnd"/>
            <w:r w:rsidRPr="00337894">
              <w:rPr>
                <w:rFonts w:ascii="Times New Roman" w:hAnsi="Times New Roman" w:cs="Times New Roman"/>
                <w:iCs/>
                <w:spacing w:val="-4"/>
                <w:sz w:val="19"/>
                <w:szCs w:val="19"/>
              </w:rPr>
              <w:t xml:space="preserve"> «Спортлото» (Оператор лотереи).</w:t>
            </w:r>
          </w:p>
        </w:tc>
      </w:tr>
      <w:tr w:rsidR="000B180A" w:rsidRPr="000B180A" w:rsidTr="00D50EE7">
        <w:tc>
          <w:tcPr>
            <w:tcW w:w="3056" w:type="dxa"/>
            <w:vAlign w:val="center"/>
          </w:tcPr>
          <w:p w:rsidR="001E5554" w:rsidRPr="00337894" w:rsidRDefault="003C3A7D"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337894">
              <w:rPr>
                <w:rFonts w:ascii="Times New Roman" w:hAnsi="Times New Roman" w:cs="Times New Roman"/>
                <w:b/>
                <w:iCs/>
                <w:sz w:val="19"/>
                <w:szCs w:val="19"/>
              </w:rPr>
              <w:t>Прочие целевые отчисления от всероссийских государственных лотерей</w:t>
            </w:r>
          </w:p>
          <w:p w:rsidR="003C3A7D" w:rsidRPr="00337894" w:rsidRDefault="003C3A7D"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337894">
              <w:rPr>
                <w:rFonts w:ascii="Times New Roman" w:hAnsi="Times New Roman" w:cs="Times New Roman"/>
                <w:iCs/>
                <w:sz w:val="19"/>
                <w:szCs w:val="19"/>
              </w:rPr>
              <w:t>(КБК 092 1 11 12012 01 0000 120)</w:t>
            </w:r>
          </w:p>
        </w:tc>
        <w:tc>
          <w:tcPr>
            <w:tcW w:w="6975" w:type="dxa"/>
          </w:tcPr>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Прогноз установлен в сумме 31,1 млн. рублей. </w:t>
            </w:r>
          </w:p>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Поступления по указанному доходному источнику составили 1,1 млн. рублей, что на 30,0 млн. рублей меньше прогноза, учтенного в Федеральном законе № 385-ФЗ. По сравнению с 2020 годом поступления уменьшились на 62,7 %.</w:t>
            </w:r>
          </w:p>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Значительное уменьшение поступления доходов связано с изменением расчета целевых отчислений, установленных дополнительным соглашением.</w:t>
            </w:r>
          </w:p>
          <w:p w:rsidR="001E555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Поступление целевых отчислений в 2021 году осуществлялось в соответствии с дополнительным соглашением от 1 августа 2021 г. № 2 к государственному контракту от 24 октября 2019 г. № 01-01-06/05-217, заключенному между Минфином России (Организатор лотереи) </w:t>
            </w:r>
            <w:proofErr w:type="gramStart"/>
            <w:r w:rsidRPr="00337894">
              <w:rPr>
                <w:rFonts w:ascii="Times New Roman" w:hAnsi="Times New Roman" w:cs="Times New Roman"/>
                <w:iCs/>
                <w:spacing w:val="-4"/>
                <w:sz w:val="19"/>
                <w:szCs w:val="19"/>
              </w:rPr>
              <w:t>и ООО</w:t>
            </w:r>
            <w:proofErr w:type="gramEnd"/>
            <w:r w:rsidRPr="00337894">
              <w:rPr>
                <w:rFonts w:ascii="Times New Roman" w:hAnsi="Times New Roman" w:cs="Times New Roman"/>
                <w:iCs/>
                <w:spacing w:val="-4"/>
                <w:sz w:val="19"/>
                <w:szCs w:val="19"/>
              </w:rPr>
              <w:t xml:space="preserve"> «Спортивные лотереи» (Оператор лотереи). </w:t>
            </w:r>
          </w:p>
        </w:tc>
      </w:tr>
      <w:tr w:rsidR="000B180A" w:rsidRPr="000B180A" w:rsidTr="00D50EE7">
        <w:tc>
          <w:tcPr>
            <w:tcW w:w="3056" w:type="dxa"/>
            <w:vAlign w:val="center"/>
          </w:tcPr>
          <w:p w:rsidR="001E5554" w:rsidRPr="00337894" w:rsidRDefault="003C3A7D"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337894">
              <w:rPr>
                <w:rFonts w:ascii="Times New Roman" w:hAnsi="Times New Roman" w:cs="Times New Roman"/>
                <w:b/>
                <w:iCs/>
                <w:sz w:val="19"/>
                <w:szCs w:val="19"/>
              </w:rPr>
              <w:t>Прочие доходы от оказания платных услуг (работ) получателями средств федерального бюджета</w:t>
            </w:r>
          </w:p>
          <w:p w:rsidR="003C3A7D" w:rsidRPr="00337894" w:rsidRDefault="003C3A7D"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337894">
              <w:rPr>
                <w:rFonts w:ascii="Times New Roman" w:hAnsi="Times New Roman" w:cs="Times New Roman"/>
                <w:iCs/>
                <w:sz w:val="19"/>
                <w:szCs w:val="19"/>
              </w:rPr>
              <w:t>(КБК 092 1 13 01991 01 0000 130)</w:t>
            </w:r>
          </w:p>
        </w:tc>
        <w:tc>
          <w:tcPr>
            <w:tcW w:w="6975" w:type="dxa"/>
          </w:tcPr>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Прогноз установлен в сумме 743,9 млн. рублей. </w:t>
            </w:r>
          </w:p>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Поступления по указанному доходному источнику составили 677,9 млн. рублей, что на 66,0 млн. рублей, или на 8,9 % меньше прогноза, учтенного в Федеральном законе № 385-ФЗ.</w:t>
            </w:r>
          </w:p>
          <w:p w:rsidR="0033789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На уменьшение поступлений оказало влияние ограничений, связанных с распространением </w:t>
            </w:r>
            <w:proofErr w:type="spellStart"/>
            <w:r w:rsidRPr="00337894">
              <w:rPr>
                <w:rFonts w:ascii="Times New Roman" w:hAnsi="Times New Roman" w:cs="Times New Roman"/>
                <w:iCs/>
                <w:spacing w:val="-4"/>
                <w:sz w:val="19"/>
                <w:szCs w:val="19"/>
              </w:rPr>
              <w:t>коронавирусной</w:t>
            </w:r>
            <w:proofErr w:type="spellEnd"/>
            <w:r w:rsidRPr="00337894">
              <w:rPr>
                <w:rFonts w:ascii="Times New Roman" w:hAnsi="Times New Roman" w:cs="Times New Roman"/>
                <w:iCs/>
                <w:spacing w:val="-4"/>
                <w:sz w:val="19"/>
                <w:szCs w:val="19"/>
              </w:rPr>
              <w:t xml:space="preserve"> инфекции (2019-nCoV), в </w:t>
            </w:r>
            <w:proofErr w:type="gramStart"/>
            <w:r w:rsidRPr="00337894">
              <w:rPr>
                <w:rFonts w:ascii="Times New Roman" w:hAnsi="Times New Roman" w:cs="Times New Roman"/>
                <w:iCs/>
                <w:spacing w:val="-4"/>
                <w:sz w:val="19"/>
                <w:szCs w:val="19"/>
              </w:rPr>
              <w:t>связи</w:t>
            </w:r>
            <w:proofErr w:type="gramEnd"/>
            <w:r w:rsidRPr="00337894">
              <w:rPr>
                <w:rFonts w:ascii="Times New Roman" w:hAnsi="Times New Roman" w:cs="Times New Roman"/>
                <w:iCs/>
                <w:spacing w:val="-4"/>
                <w:sz w:val="19"/>
                <w:szCs w:val="19"/>
              </w:rPr>
              <w:t xml:space="preserve"> с чем сократилась посещаемость Выставки «Алмазный фонд», что в свою очередь привело к снижению объемов продаж продукции, предназначенной для реализации. Кроме того, в меньшем объеме поступили денежные средства за переупаковку ценностей, родительская плата за содержание детей в детском дошкольном учреждении филиала Гохран России – «Объект «Урал».</w:t>
            </w:r>
          </w:p>
          <w:p w:rsidR="001E5554" w:rsidRPr="00337894" w:rsidRDefault="00337894" w:rsidP="00337894">
            <w:pPr>
              <w:ind w:firstLine="346"/>
              <w:jc w:val="both"/>
              <w:rPr>
                <w:rFonts w:ascii="Times New Roman" w:hAnsi="Times New Roman" w:cs="Times New Roman"/>
                <w:iCs/>
                <w:spacing w:val="-4"/>
                <w:sz w:val="19"/>
                <w:szCs w:val="19"/>
              </w:rPr>
            </w:pPr>
            <w:r w:rsidRPr="00337894">
              <w:rPr>
                <w:rFonts w:ascii="Times New Roman" w:hAnsi="Times New Roman" w:cs="Times New Roman"/>
                <w:iCs/>
                <w:spacing w:val="-4"/>
                <w:sz w:val="19"/>
                <w:szCs w:val="19"/>
              </w:rPr>
              <w:t xml:space="preserve">По сравнению с 2020 годом поступление доходов увеличилось на 86,6 млн. рублей, или на 14,7 %. </w:t>
            </w:r>
          </w:p>
        </w:tc>
      </w:tr>
      <w:tr w:rsidR="000B180A" w:rsidRPr="000B180A" w:rsidTr="00D50EE7">
        <w:tc>
          <w:tcPr>
            <w:tcW w:w="3056" w:type="dxa"/>
            <w:vAlign w:val="center"/>
          </w:tcPr>
          <w:p w:rsidR="001E5554" w:rsidRPr="00FD1DCE" w:rsidRDefault="003C3A7D"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FD1DCE">
              <w:rPr>
                <w:rFonts w:ascii="Times New Roman" w:hAnsi="Times New Roman" w:cs="Times New Roman"/>
                <w:b/>
                <w:iCs/>
                <w:sz w:val="19"/>
                <w:szCs w:val="19"/>
              </w:rPr>
              <w:t>Доходы, поступающие в порядке возмещения расходов, понесенных в связи с эксплуатацией федерального имущества (федеральные казенные учреждения)</w:t>
            </w:r>
          </w:p>
          <w:p w:rsidR="003C3A7D" w:rsidRPr="00FD1DCE" w:rsidRDefault="003C3A7D"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FD1DCE">
              <w:rPr>
                <w:rFonts w:ascii="Times New Roman" w:hAnsi="Times New Roman" w:cs="Times New Roman"/>
                <w:iCs/>
                <w:sz w:val="19"/>
                <w:szCs w:val="19"/>
              </w:rPr>
              <w:t>(КБК 092 1 13 02061 01 0000 130)</w:t>
            </w:r>
          </w:p>
        </w:tc>
        <w:tc>
          <w:tcPr>
            <w:tcW w:w="6975" w:type="dxa"/>
          </w:tcPr>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Прогноз установлен в сумме 43,4 млн. рублей.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Поступления по указанному доходному источнику составили 46,5 млн. рублей, что на 3,1 млн. рублей, или на 7,1 % больше прогноза, учтенного в Федеральном законе № 385-ФЗ.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Увеличение поступлений доходов сложилось за счет увеличения количества контрагентов, возмещающих стоимость коммунальных, эксплуатационных и административно-хозяйственных услуг и услуг связи, а также продлением аренды помещений в г. Москве ПАО АК «АЛРОСА».</w:t>
            </w:r>
          </w:p>
          <w:p w:rsidR="001E5554"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Относительно 2020 года объем поступлений увеличился на 22,5 %.</w:t>
            </w:r>
          </w:p>
        </w:tc>
      </w:tr>
      <w:tr w:rsidR="000B180A" w:rsidRPr="000B180A" w:rsidTr="00D50EE7">
        <w:tc>
          <w:tcPr>
            <w:tcW w:w="3056" w:type="dxa"/>
            <w:vAlign w:val="center"/>
          </w:tcPr>
          <w:p w:rsidR="001E5554" w:rsidRPr="00FD1DCE" w:rsidRDefault="003C3A7D"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FD1DCE">
              <w:rPr>
                <w:rFonts w:ascii="Times New Roman" w:hAnsi="Times New Roman" w:cs="Times New Roman"/>
                <w:b/>
                <w:iCs/>
                <w:sz w:val="19"/>
                <w:szCs w:val="19"/>
              </w:rPr>
              <w:t xml:space="preserve">Прочие доходы от компенсации </w:t>
            </w:r>
            <w:r w:rsidRPr="00FD1DCE">
              <w:rPr>
                <w:rFonts w:ascii="Times New Roman" w:hAnsi="Times New Roman" w:cs="Times New Roman"/>
                <w:b/>
                <w:iCs/>
                <w:sz w:val="19"/>
                <w:szCs w:val="19"/>
              </w:rPr>
              <w:lastRenderedPageBreak/>
              <w:t>затрат федерального бюджета</w:t>
            </w:r>
          </w:p>
          <w:p w:rsidR="003C3A7D" w:rsidRPr="00FD1DCE" w:rsidRDefault="003C3A7D"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FD1DCE">
              <w:rPr>
                <w:rFonts w:ascii="Times New Roman" w:hAnsi="Times New Roman" w:cs="Times New Roman"/>
                <w:iCs/>
                <w:sz w:val="19"/>
                <w:szCs w:val="19"/>
              </w:rPr>
              <w:t>(КБК 092 1 13 02991 01 0000 130)</w:t>
            </w:r>
          </w:p>
        </w:tc>
        <w:tc>
          <w:tcPr>
            <w:tcW w:w="6975" w:type="dxa"/>
          </w:tcPr>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lastRenderedPageBreak/>
              <w:t xml:space="preserve">Прогноз установлен в сумме 18,5 млн. рублей.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lastRenderedPageBreak/>
              <w:t xml:space="preserve">Поступления по указанному доходному источнику составили 95,4 млн. рублей, что на 77,0 млн. рублей, или в 5,2 раза больше прогноза, учтенного в Федеральном законе № 385-ФЗ.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Указанные поступления сложились за счет: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поступления денежных средств от АО «АСЭ» по </w:t>
            </w:r>
            <w:proofErr w:type="gramStart"/>
            <w:r w:rsidRPr="00FD1DCE">
              <w:rPr>
                <w:rFonts w:ascii="Times New Roman" w:hAnsi="Times New Roman" w:cs="Times New Roman"/>
                <w:iCs/>
                <w:spacing w:val="-4"/>
                <w:sz w:val="19"/>
                <w:szCs w:val="19"/>
              </w:rPr>
              <w:t>кредит-ноте</w:t>
            </w:r>
            <w:proofErr w:type="gramEnd"/>
            <w:r w:rsidRPr="00FD1DCE">
              <w:rPr>
                <w:rFonts w:ascii="Times New Roman" w:hAnsi="Times New Roman" w:cs="Times New Roman"/>
                <w:iCs/>
                <w:spacing w:val="-4"/>
                <w:sz w:val="19"/>
                <w:szCs w:val="19"/>
              </w:rPr>
              <w:t xml:space="preserve"> по соглашению о финансировании от 31 января 2013 г. № 01-01-06/04-84 (57,1 млн. рублей);</w:t>
            </w:r>
          </w:p>
          <w:p w:rsidR="00FD1DCE" w:rsidRPr="00FD1DCE" w:rsidRDefault="00FD1DCE" w:rsidP="00FD1DCE">
            <w:pPr>
              <w:ind w:firstLine="346"/>
              <w:jc w:val="both"/>
              <w:rPr>
                <w:rFonts w:ascii="Times New Roman" w:hAnsi="Times New Roman" w:cs="Times New Roman"/>
                <w:iCs/>
                <w:spacing w:val="-4"/>
                <w:sz w:val="19"/>
                <w:szCs w:val="19"/>
              </w:rPr>
            </w:pPr>
            <w:proofErr w:type="gramStart"/>
            <w:r w:rsidRPr="00FD1DCE">
              <w:rPr>
                <w:rFonts w:ascii="Times New Roman" w:hAnsi="Times New Roman" w:cs="Times New Roman"/>
                <w:iCs/>
                <w:spacing w:val="-4"/>
                <w:sz w:val="19"/>
                <w:szCs w:val="19"/>
              </w:rPr>
              <w:t>в соответствии с соглашением от 21 декабря 2020 г. № 01-01-06/05-1050 об осуществлении в 2021 году операций по компенсационным выплатам по вкладам в ПАО «Сбербанк», заключенным между Минфином России и ПАО «Сбербанк», по данному виду дохода отражается возвращенная Минфину России сумма излишне выплаченных средств федерального бюджета на компенсационные выплаты по вкладам в ПАО «Сбербанк» и излишне выплаченного ПАО «Сбербанк» комиссионного</w:t>
            </w:r>
            <w:proofErr w:type="gramEnd"/>
            <w:r w:rsidRPr="00FD1DCE">
              <w:rPr>
                <w:rFonts w:ascii="Times New Roman" w:hAnsi="Times New Roman" w:cs="Times New Roman"/>
                <w:iCs/>
                <w:spacing w:val="-4"/>
                <w:sz w:val="19"/>
                <w:szCs w:val="19"/>
              </w:rPr>
              <w:t xml:space="preserve"> вознаграждения за оказанные услуги, связанные с осуществлением этих выплат в предыдущие годы (1,0 млн. рублей);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возмещения расходов на выплату пособий по временной нетрудоспособности и материнству за 2020 год (10,7 млн. рублей); </w:t>
            </w:r>
          </w:p>
          <w:p w:rsidR="00552DBD"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возврата купонных платежей по ОФЗ-н, перечисленных владельцам в предыдущем отчетном периоде в соответствии с приказом Минфина России от 15</w:t>
            </w:r>
            <w:r>
              <w:rPr>
                <w:rFonts w:ascii="Times New Roman" w:hAnsi="Times New Roman" w:cs="Times New Roman"/>
                <w:iCs/>
                <w:spacing w:val="-4"/>
                <w:sz w:val="19"/>
                <w:szCs w:val="19"/>
              </w:rPr>
              <w:t> </w:t>
            </w:r>
            <w:r w:rsidRPr="00FD1DCE">
              <w:rPr>
                <w:rFonts w:ascii="Times New Roman" w:hAnsi="Times New Roman" w:cs="Times New Roman"/>
                <w:iCs/>
                <w:spacing w:val="-4"/>
                <w:sz w:val="19"/>
                <w:szCs w:val="19"/>
              </w:rPr>
              <w:t>марта 2017 г. № 38н «Об утверждении Условий эмиссии и обращения облигаций федерального займа для физических лиц» (1,2 млн. рублей).</w:t>
            </w:r>
          </w:p>
        </w:tc>
      </w:tr>
      <w:tr w:rsidR="000B180A" w:rsidRPr="000B180A" w:rsidTr="00D50EE7">
        <w:tc>
          <w:tcPr>
            <w:tcW w:w="3056" w:type="dxa"/>
            <w:vAlign w:val="center"/>
          </w:tcPr>
          <w:p w:rsidR="001E5554" w:rsidRPr="00FD1DCE" w:rsidRDefault="003C3A7D"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FD1DCE">
              <w:rPr>
                <w:rFonts w:ascii="Times New Roman" w:hAnsi="Times New Roman" w:cs="Times New Roman"/>
                <w:b/>
                <w:iCs/>
                <w:sz w:val="19"/>
                <w:szCs w:val="19"/>
              </w:rPr>
              <w:lastRenderedPageBreak/>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w:t>
            </w:r>
          </w:p>
          <w:p w:rsidR="003C3A7D" w:rsidRPr="00FD1DCE" w:rsidRDefault="003C3A7D"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FD1DCE">
              <w:rPr>
                <w:rFonts w:ascii="Times New Roman" w:hAnsi="Times New Roman" w:cs="Times New Roman"/>
                <w:iCs/>
                <w:sz w:val="19"/>
                <w:szCs w:val="19"/>
              </w:rPr>
              <w:t>(КБК 092 1 14 02013 01 0000 410)</w:t>
            </w:r>
          </w:p>
        </w:tc>
        <w:tc>
          <w:tcPr>
            <w:tcW w:w="6975" w:type="dxa"/>
          </w:tcPr>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 xml:space="preserve">Прогноз в части реализации основных средств не формировался. </w:t>
            </w:r>
          </w:p>
          <w:p w:rsidR="00FD1DCE"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Поступления по указанному доходному источнику составили 1,04 млн. рублей в связи с реализацией автотранспортных средств в соответствии с разрешением Минфина России от 25 августа 2021 г. № 11-10-07/68418 (ФКУ «ГУ «</w:t>
            </w:r>
            <w:proofErr w:type="gramStart"/>
            <w:r w:rsidRPr="00FD1DCE">
              <w:rPr>
                <w:rFonts w:ascii="Times New Roman" w:hAnsi="Times New Roman" w:cs="Times New Roman"/>
                <w:iCs/>
                <w:spacing w:val="-4"/>
                <w:sz w:val="19"/>
                <w:szCs w:val="19"/>
              </w:rPr>
              <w:t>ВО</w:t>
            </w:r>
            <w:proofErr w:type="gramEnd"/>
            <w:r w:rsidRPr="00FD1DCE">
              <w:rPr>
                <w:rFonts w:ascii="Times New Roman" w:hAnsi="Times New Roman" w:cs="Times New Roman"/>
                <w:iCs/>
                <w:spacing w:val="-4"/>
                <w:sz w:val="19"/>
                <w:szCs w:val="19"/>
              </w:rPr>
              <w:t xml:space="preserve"> Минфина России»).</w:t>
            </w:r>
          </w:p>
          <w:p w:rsidR="001E5554" w:rsidRPr="00FD1DCE" w:rsidRDefault="00FD1DCE" w:rsidP="00FD1DCE">
            <w:pPr>
              <w:ind w:firstLine="346"/>
              <w:jc w:val="both"/>
              <w:rPr>
                <w:rFonts w:ascii="Times New Roman" w:hAnsi="Times New Roman" w:cs="Times New Roman"/>
                <w:iCs/>
                <w:spacing w:val="-4"/>
                <w:sz w:val="19"/>
                <w:szCs w:val="19"/>
              </w:rPr>
            </w:pPr>
            <w:r w:rsidRPr="00FD1DCE">
              <w:rPr>
                <w:rFonts w:ascii="Times New Roman" w:hAnsi="Times New Roman" w:cs="Times New Roman"/>
                <w:iCs/>
                <w:spacing w:val="-4"/>
                <w:sz w:val="19"/>
                <w:szCs w:val="19"/>
              </w:rPr>
              <w:t>Поступление указанных доходов относительно 2020 года увеличилось на 0,08</w:t>
            </w:r>
            <w:r>
              <w:rPr>
                <w:rFonts w:ascii="Times New Roman" w:hAnsi="Times New Roman" w:cs="Times New Roman"/>
                <w:iCs/>
                <w:spacing w:val="-4"/>
                <w:sz w:val="19"/>
                <w:szCs w:val="19"/>
              </w:rPr>
              <w:t> </w:t>
            </w:r>
            <w:r w:rsidRPr="00FD1DCE">
              <w:rPr>
                <w:rFonts w:ascii="Times New Roman" w:hAnsi="Times New Roman" w:cs="Times New Roman"/>
                <w:iCs/>
                <w:spacing w:val="-4"/>
                <w:sz w:val="19"/>
                <w:szCs w:val="19"/>
              </w:rPr>
              <w:t>млн. рублей, или на 8,7 %.</w:t>
            </w:r>
          </w:p>
        </w:tc>
      </w:tr>
      <w:tr w:rsidR="000B180A" w:rsidRPr="000B180A" w:rsidTr="00D50EE7">
        <w:tc>
          <w:tcPr>
            <w:tcW w:w="3056" w:type="dxa"/>
            <w:vAlign w:val="center"/>
          </w:tcPr>
          <w:p w:rsidR="003C3A7D" w:rsidRPr="00565763"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565763">
              <w:rPr>
                <w:rFonts w:ascii="Times New Roman" w:hAnsi="Times New Roman" w:cs="Times New Roman"/>
                <w:b/>
                <w:iCs/>
                <w:sz w:val="19"/>
                <w:szCs w:val="19"/>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w:t>
            </w:r>
          </w:p>
          <w:p w:rsidR="00761B53" w:rsidRPr="00565763"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565763">
              <w:rPr>
                <w:rFonts w:ascii="Times New Roman" w:hAnsi="Times New Roman" w:cs="Times New Roman"/>
                <w:iCs/>
                <w:sz w:val="19"/>
                <w:szCs w:val="19"/>
              </w:rPr>
              <w:t>(КБК 092 1 14 02013 01 0000 440)</w:t>
            </w:r>
          </w:p>
        </w:tc>
        <w:tc>
          <w:tcPr>
            <w:tcW w:w="6975" w:type="dxa"/>
          </w:tcPr>
          <w:p w:rsidR="00565763" w:rsidRPr="00565763" w:rsidRDefault="00565763" w:rsidP="00565763">
            <w:pPr>
              <w:ind w:firstLine="346"/>
              <w:jc w:val="both"/>
              <w:rPr>
                <w:rFonts w:ascii="Times New Roman" w:hAnsi="Times New Roman" w:cs="Times New Roman"/>
                <w:iCs/>
                <w:spacing w:val="-4"/>
                <w:sz w:val="19"/>
                <w:szCs w:val="19"/>
              </w:rPr>
            </w:pPr>
            <w:r w:rsidRPr="00565763">
              <w:rPr>
                <w:rFonts w:ascii="Times New Roman" w:hAnsi="Times New Roman" w:cs="Times New Roman"/>
                <w:iCs/>
                <w:spacing w:val="-4"/>
                <w:sz w:val="19"/>
                <w:szCs w:val="19"/>
              </w:rPr>
              <w:t xml:space="preserve">Прогноз, в части реализации материальных запасов составил 1,54 млн. рублей. </w:t>
            </w:r>
          </w:p>
          <w:p w:rsidR="00565763" w:rsidRPr="00565763" w:rsidRDefault="00565763" w:rsidP="00565763">
            <w:pPr>
              <w:ind w:firstLine="346"/>
              <w:jc w:val="both"/>
              <w:rPr>
                <w:rFonts w:ascii="Times New Roman" w:hAnsi="Times New Roman" w:cs="Times New Roman"/>
                <w:iCs/>
                <w:spacing w:val="-4"/>
                <w:sz w:val="19"/>
                <w:szCs w:val="19"/>
              </w:rPr>
            </w:pPr>
            <w:r w:rsidRPr="00565763">
              <w:rPr>
                <w:rFonts w:ascii="Times New Roman" w:hAnsi="Times New Roman" w:cs="Times New Roman"/>
                <w:iCs/>
                <w:spacing w:val="-4"/>
                <w:sz w:val="19"/>
                <w:szCs w:val="19"/>
              </w:rPr>
              <w:t xml:space="preserve">Поступления по указанному доходному источнику составили 2,91 млн. рублей, что на 1,37 млн. рулей, или в 1,9 раза больше прогноза, учтенного в Федеральном законе № 385-ФЗ. </w:t>
            </w:r>
          </w:p>
          <w:p w:rsidR="00565763" w:rsidRPr="00565763" w:rsidRDefault="00565763" w:rsidP="00565763">
            <w:pPr>
              <w:ind w:firstLine="346"/>
              <w:jc w:val="both"/>
              <w:rPr>
                <w:rFonts w:ascii="Times New Roman" w:hAnsi="Times New Roman" w:cs="Times New Roman"/>
                <w:iCs/>
                <w:spacing w:val="-4"/>
                <w:sz w:val="19"/>
                <w:szCs w:val="19"/>
              </w:rPr>
            </w:pPr>
            <w:r w:rsidRPr="00565763">
              <w:rPr>
                <w:rFonts w:ascii="Times New Roman" w:hAnsi="Times New Roman" w:cs="Times New Roman"/>
                <w:iCs/>
                <w:spacing w:val="-4"/>
                <w:sz w:val="19"/>
                <w:szCs w:val="19"/>
              </w:rPr>
              <w:t>Отклонение (увеличение поступления доходов) сложилось за счет увеличения поступлений от реализации форменной одежды (ФКУ «ГУ «</w:t>
            </w:r>
            <w:proofErr w:type="gramStart"/>
            <w:r w:rsidRPr="00565763">
              <w:rPr>
                <w:rFonts w:ascii="Times New Roman" w:hAnsi="Times New Roman" w:cs="Times New Roman"/>
                <w:iCs/>
                <w:spacing w:val="-4"/>
                <w:sz w:val="19"/>
                <w:szCs w:val="19"/>
              </w:rPr>
              <w:t>ВО</w:t>
            </w:r>
            <w:proofErr w:type="gramEnd"/>
            <w:r w:rsidRPr="00565763">
              <w:rPr>
                <w:rFonts w:ascii="Times New Roman" w:hAnsi="Times New Roman" w:cs="Times New Roman"/>
                <w:iCs/>
                <w:spacing w:val="-4"/>
                <w:sz w:val="19"/>
                <w:szCs w:val="19"/>
              </w:rPr>
              <w:t xml:space="preserve"> Минфина России»), а также от реализации лома черных и цветных металлов (Гохран России).</w:t>
            </w:r>
          </w:p>
          <w:p w:rsidR="003C3A7D" w:rsidRPr="00565763" w:rsidRDefault="00565763" w:rsidP="005726B3">
            <w:pPr>
              <w:ind w:firstLine="346"/>
              <w:jc w:val="both"/>
              <w:rPr>
                <w:rFonts w:ascii="Times New Roman" w:hAnsi="Times New Roman" w:cs="Times New Roman"/>
                <w:iCs/>
                <w:spacing w:val="-4"/>
                <w:sz w:val="19"/>
                <w:szCs w:val="19"/>
              </w:rPr>
            </w:pPr>
            <w:r w:rsidRPr="00565763">
              <w:rPr>
                <w:rFonts w:ascii="Times New Roman" w:hAnsi="Times New Roman" w:cs="Times New Roman"/>
                <w:iCs/>
                <w:spacing w:val="-4"/>
                <w:sz w:val="19"/>
                <w:szCs w:val="19"/>
              </w:rPr>
              <w:t xml:space="preserve">Поступление указанных доходов относительно 2020 года увеличилось на 0,5 млн. рублей, или на 21,8 %. </w:t>
            </w:r>
          </w:p>
        </w:tc>
      </w:tr>
      <w:tr w:rsidR="000B180A" w:rsidRPr="000B180A" w:rsidTr="00D50EE7">
        <w:tc>
          <w:tcPr>
            <w:tcW w:w="3056" w:type="dxa"/>
            <w:vAlign w:val="center"/>
          </w:tcPr>
          <w:p w:rsidR="003C3A7D" w:rsidRPr="002F7DCA"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proofErr w:type="gramStart"/>
            <w:r w:rsidRPr="002F7DCA">
              <w:rPr>
                <w:rFonts w:ascii="Times New Roman" w:hAnsi="Times New Roman" w:cs="Times New Roman"/>
                <w:b/>
                <w:iCs/>
                <w:sz w:val="19"/>
                <w:szCs w:val="19"/>
              </w:rPr>
              <w:t>Административные штрафы, установленные Главой 15 КоАП РФ,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roofErr w:type="gramEnd"/>
          </w:p>
          <w:p w:rsidR="00761B53" w:rsidRPr="002F7DCA"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2F7DCA">
              <w:rPr>
                <w:rFonts w:ascii="Times New Roman" w:hAnsi="Times New Roman" w:cs="Times New Roman"/>
                <w:iCs/>
                <w:sz w:val="19"/>
                <w:szCs w:val="19"/>
              </w:rPr>
              <w:t>(КБК 092 1 16 01151 01 0000 140)</w:t>
            </w:r>
          </w:p>
        </w:tc>
        <w:tc>
          <w:tcPr>
            <w:tcW w:w="6975" w:type="dxa"/>
          </w:tcPr>
          <w:p w:rsidR="002F7DCA" w:rsidRPr="002F7DCA" w:rsidRDefault="002F7DCA" w:rsidP="002F7DCA">
            <w:pPr>
              <w:ind w:firstLine="346"/>
              <w:jc w:val="both"/>
              <w:rPr>
                <w:rFonts w:ascii="Times New Roman" w:hAnsi="Times New Roman" w:cs="Times New Roman"/>
                <w:iCs/>
                <w:spacing w:val="-4"/>
                <w:sz w:val="19"/>
                <w:szCs w:val="19"/>
              </w:rPr>
            </w:pPr>
            <w:r w:rsidRPr="002F7DCA">
              <w:rPr>
                <w:rFonts w:ascii="Times New Roman" w:hAnsi="Times New Roman" w:cs="Times New Roman"/>
                <w:iCs/>
                <w:spacing w:val="-4"/>
                <w:sz w:val="19"/>
                <w:szCs w:val="19"/>
              </w:rPr>
              <w:t xml:space="preserve">Прогноз не формировался. </w:t>
            </w:r>
          </w:p>
          <w:p w:rsidR="002F7DCA" w:rsidRPr="002F7DCA" w:rsidRDefault="002F7DCA" w:rsidP="002F7DCA">
            <w:pPr>
              <w:ind w:firstLine="346"/>
              <w:jc w:val="both"/>
              <w:rPr>
                <w:rFonts w:ascii="Times New Roman" w:hAnsi="Times New Roman" w:cs="Times New Roman"/>
                <w:iCs/>
                <w:spacing w:val="-4"/>
                <w:sz w:val="19"/>
                <w:szCs w:val="19"/>
              </w:rPr>
            </w:pPr>
            <w:r w:rsidRPr="002F7DCA">
              <w:rPr>
                <w:rFonts w:ascii="Times New Roman" w:hAnsi="Times New Roman" w:cs="Times New Roman"/>
                <w:iCs/>
                <w:spacing w:val="-4"/>
                <w:sz w:val="19"/>
                <w:szCs w:val="19"/>
              </w:rPr>
              <w:t>Поступления по указанному доходному источнику составили 20,0 тыс. рублей в соответствии с возбужденным делом об административном правонарушении от 8</w:t>
            </w:r>
            <w:r>
              <w:rPr>
                <w:rFonts w:ascii="Times New Roman" w:hAnsi="Times New Roman" w:cs="Times New Roman"/>
                <w:iCs/>
                <w:spacing w:val="-4"/>
                <w:sz w:val="19"/>
                <w:szCs w:val="19"/>
              </w:rPr>
              <w:t> </w:t>
            </w:r>
            <w:r w:rsidRPr="002F7DCA">
              <w:rPr>
                <w:rFonts w:ascii="Times New Roman" w:hAnsi="Times New Roman" w:cs="Times New Roman"/>
                <w:iCs/>
                <w:spacing w:val="-4"/>
                <w:sz w:val="19"/>
                <w:szCs w:val="19"/>
              </w:rPr>
              <w:t xml:space="preserve">июня 2021 года № 5-316/202 в отношении Афанасьевой А.В. </w:t>
            </w:r>
          </w:p>
          <w:p w:rsidR="003C3A7D" w:rsidRPr="002F7DCA" w:rsidRDefault="003C3A7D" w:rsidP="002F7DCA">
            <w:pPr>
              <w:ind w:firstLine="346"/>
              <w:jc w:val="both"/>
              <w:rPr>
                <w:rFonts w:ascii="Times New Roman" w:hAnsi="Times New Roman" w:cs="Times New Roman"/>
                <w:iCs/>
                <w:spacing w:val="-4"/>
                <w:sz w:val="19"/>
                <w:szCs w:val="19"/>
              </w:rPr>
            </w:pPr>
          </w:p>
        </w:tc>
      </w:tr>
      <w:tr w:rsidR="00923FEF" w:rsidRPr="000B180A" w:rsidTr="00D50EE7">
        <w:tc>
          <w:tcPr>
            <w:tcW w:w="3056" w:type="dxa"/>
            <w:vAlign w:val="center"/>
          </w:tcPr>
          <w:p w:rsidR="00923FEF" w:rsidRPr="00923FEF" w:rsidRDefault="00923FEF" w:rsidP="00923FEF">
            <w:pPr>
              <w:widowControl w:val="0"/>
              <w:overflowPunct w:val="0"/>
              <w:autoSpaceDE w:val="0"/>
              <w:autoSpaceDN w:val="0"/>
              <w:adjustRightInd w:val="0"/>
              <w:jc w:val="both"/>
              <w:textAlignment w:val="baseline"/>
              <w:rPr>
                <w:rFonts w:ascii="Times New Roman" w:hAnsi="Times New Roman" w:cs="Times New Roman"/>
                <w:b/>
                <w:iCs/>
                <w:sz w:val="19"/>
                <w:szCs w:val="19"/>
              </w:rPr>
            </w:pPr>
            <w:proofErr w:type="gramStart"/>
            <w:r w:rsidRPr="00923FEF">
              <w:rPr>
                <w:rFonts w:ascii="Times New Roman" w:hAnsi="Times New Roman" w:cs="Times New Roman"/>
                <w:b/>
                <w:iCs/>
                <w:sz w:val="19"/>
                <w:szCs w:val="19"/>
              </w:rPr>
              <w:t xml:space="preserve">Административные штрафы, установленные Главой 19 КоАП РФ, за административные правонарушения против порядка управления, налагаемые судьями федеральных судов, должностными лицами федеральных государственных </w:t>
            </w:r>
            <w:r w:rsidRPr="00923FEF">
              <w:rPr>
                <w:rFonts w:ascii="Times New Roman" w:hAnsi="Times New Roman" w:cs="Times New Roman"/>
                <w:b/>
                <w:iCs/>
                <w:sz w:val="19"/>
                <w:szCs w:val="19"/>
              </w:rPr>
              <w:lastRenderedPageBreak/>
              <w:t>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w:t>
            </w:r>
            <w:proofErr w:type="gramEnd"/>
            <w:r w:rsidRPr="00923FEF">
              <w:rPr>
                <w:rFonts w:ascii="Times New Roman" w:hAnsi="Times New Roman" w:cs="Times New Roman"/>
                <w:b/>
                <w:iCs/>
                <w:sz w:val="19"/>
                <w:szCs w:val="19"/>
              </w:rPr>
              <w:t xml:space="preserve">), </w:t>
            </w:r>
            <w:proofErr w:type="gramStart"/>
            <w:r w:rsidRPr="00923FEF">
              <w:rPr>
                <w:rFonts w:ascii="Times New Roman" w:hAnsi="Times New Roman" w:cs="Times New Roman"/>
                <w:b/>
                <w:iCs/>
                <w:sz w:val="19"/>
                <w:szCs w:val="19"/>
              </w:rPr>
              <w:t>осуществляющего</w:t>
            </w:r>
            <w:proofErr w:type="gramEnd"/>
            <w:r w:rsidRPr="00923FEF">
              <w:rPr>
                <w:rFonts w:ascii="Times New Roman" w:hAnsi="Times New Roman" w:cs="Times New Roman"/>
                <w:b/>
                <w:iCs/>
                <w:sz w:val="19"/>
                <w:szCs w:val="19"/>
              </w:rPr>
              <w:t xml:space="preserve"> муниципальный контроль) </w:t>
            </w:r>
            <w:r w:rsidRPr="00923FEF">
              <w:rPr>
                <w:rFonts w:ascii="Times New Roman" w:hAnsi="Times New Roman" w:cs="Times New Roman"/>
                <w:iCs/>
                <w:sz w:val="19"/>
                <w:szCs w:val="19"/>
              </w:rPr>
              <w:t>(КБК 092 1 16 01191 01 0000 140)</w:t>
            </w:r>
          </w:p>
        </w:tc>
        <w:tc>
          <w:tcPr>
            <w:tcW w:w="6975" w:type="dxa"/>
          </w:tcPr>
          <w:p w:rsidR="00923FEF" w:rsidRPr="00923FEF" w:rsidRDefault="00923FEF" w:rsidP="00923FEF">
            <w:pPr>
              <w:ind w:firstLine="346"/>
              <w:jc w:val="both"/>
              <w:rPr>
                <w:rFonts w:ascii="Times New Roman" w:hAnsi="Times New Roman" w:cs="Times New Roman"/>
                <w:iCs/>
                <w:spacing w:val="-4"/>
                <w:sz w:val="19"/>
                <w:szCs w:val="19"/>
              </w:rPr>
            </w:pPr>
            <w:r w:rsidRPr="00923FEF">
              <w:rPr>
                <w:rFonts w:ascii="Times New Roman" w:hAnsi="Times New Roman" w:cs="Times New Roman"/>
                <w:iCs/>
                <w:spacing w:val="-4"/>
                <w:sz w:val="19"/>
                <w:szCs w:val="19"/>
              </w:rPr>
              <w:lastRenderedPageBreak/>
              <w:t>Прогноз не формировался.</w:t>
            </w:r>
          </w:p>
          <w:p w:rsidR="00923FEF" w:rsidRPr="00923FEF" w:rsidRDefault="00923FEF" w:rsidP="00923FEF">
            <w:pPr>
              <w:ind w:firstLine="346"/>
              <w:jc w:val="both"/>
              <w:rPr>
                <w:rFonts w:ascii="Times New Roman" w:hAnsi="Times New Roman" w:cs="Times New Roman"/>
                <w:iCs/>
                <w:spacing w:val="-4"/>
                <w:sz w:val="19"/>
                <w:szCs w:val="19"/>
              </w:rPr>
            </w:pPr>
            <w:r w:rsidRPr="00923FEF">
              <w:rPr>
                <w:rFonts w:ascii="Times New Roman" w:hAnsi="Times New Roman" w:cs="Times New Roman"/>
                <w:iCs/>
                <w:spacing w:val="-4"/>
                <w:sz w:val="19"/>
                <w:szCs w:val="19"/>
              </w:rPr>
              <w:t>Фактические поступления в 2021 году составили 10 тыс. рублей, в связи с поступлением административного штрафа, установленного частью 20 статьи 19.5</w:t>
            </w:r>
            <w:r w:rsidR="001F4687">
              <w:rPr>
                <w:rFonts w:ascii="Times New Roman" w:hAnsi="Times New Roman" w:cs="Times New Roman"/>
                <w:iCs/>
                <w:spacing w:val="-4"/>
                <w:sz w:val="19"/>
                <w:szCs w:val="19"/>
              </w:rPr>
              <w:t> </w:t>
            </w:r>
            <w:r w:rsidRPr="00923FEF">
              <w:rPr>
                <w:rFonts w:ascii="Times New Roman" w:hAnsi="Times New Roman" w:cs="Times New Roman"/>
                <w:iCs/>
                <w:spacing w:val="-4"/>
                <w:sz w:val="19"/>
                <w:szCs w:val="19"/>
              </w:rPr>
              <w:t>главой 19 КоАП (протокол от 19 марта 2021 года № 1/2021 в отношении Ивановой О.В.).</w:t>
            </w:r>
          </w:p>
          <w:p w:rsidR="00923FEF" w:rsidRPr="00923FEF" w:rsidRDefault="00923FEF" w:rsidP="00923FEF">
            <w:pPr>
              <w:ind w:firstLine="346"/>
              <w:jc w:val="both"/>
              <w:rPr>
                <w:rFonts w:ascii="Times New Roman" w:hAnsi="Times New Roman" w:cs="Times New Roman"/>
                <w:iCs/>
                <w:spacing w:val="-4"/>
                <w:sz w:val="19"/>
                <w:szCs w:val="19"/>
              </w:rPr>
            </w:pPr>
          </w:p>
        </w:tc>
      </w:tr>
      <w:tr w:rsidR="000B180A" w:rsidRPr="000B180A" w:rsidTr="00D50EE7">
        <w:tc>
          <w:tcPr>
            <w:tcW w:w="3056" w:type="dxa"/>
            <w:vAlign w:val="center"/>
          </w:tcPr>
          <w:p w:rsidR="003C3A7D" w:rsidRPr="001F4687"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proofErr w:type="gramStart"/>
            <w:r w:rsidRPr="001F4687">
              <w:rPr>
                <w:rFonts w:ascii="Times New Roman" w:hAnsi="Times New Roman" w:cs="Times New Roman"/>
                <w:b/>
                <w:iCs/>
                <w:sz w:val="19"/>
                <w:szCs w:val="19"/>
              </w:rP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roofErr w:type="gramEnd"/>
          </w:p>
          <w:p w:rsidR="00761B53" w:rsidRPr="001F4687"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1F4687">
              <w:rPr>
                <w:rFonts w:ascii="Times New Roman" w:hAnsi="Times New Roman" w:cs="Times New Roman"/>
                <w:iCs/>
                <w:sz w:val="19"/>
                <w:szCs w:val="19"/>
              </w:rPr>
              <w:t>(КБК 092 1 16 07010 01 0000 140)</w:t>
            </w:r>
          </w:p>
        </w:tc>
        <w:tc>
          <w:tcPr>
            <w:tcW w:w="6975" w:type="dxa"/>
          </w:tcPr>
          <w:p w:rsidR="001F4687" w:rsidRPr="001F4687" w:rsidRDefault="001F4687" w:rsidP="001F4687">
            <w:pPr>
              <w:ind w:firstLine="346"/>
              <w:jc w:val="both"/>
              <w:rPr>
                <w:rFonts w:ascii="Times New Roman" w:hAnsi="Times New Roman" w:cs="Times New Roman"/>
                <w:iCs/>
                <w:spacing w:val="-4"/>
                <w:sz w:val="19"/>
                <w:szCs w:val="19"/>
              </w:rPr>
            </w:pPr>
            <w:r w:rsidRPr="001F4687">
              <w:rPr>
                <w:rFonts w:ascii="Times New Roman" w:hAnsi="Times New Roman" w:cs="Times New Roman"/>
                <w:iCs/>
                <w:spacing w:val="-4"/>
                <w:sz w:val="19"/>
                <w:szCs w:val="19"/>
              </w:rPr>
              <w:t>Прогноз установлен в сумме 2,8 млн. рублей.</w:t>
            </w:r>
          </w:p>
          <w:p w:rsidR="001F4687" w:rsidRPr="001F4687" w:rsidRDefault="001F4687" w:rsidP="001F4687">
            <w:pPr>
              <w:ind w:firstLine="346"/>
              <w:jc w:val="both"/>
              <w:rPr>
                <w:rFonts w:ascii="Times New Roman" w:hAnsi="Times New Roman" w:cs="Times New Roman"/>
                <w:iCs/>
                <w:spacing w:val="-4"/>
                <w:sz w:val="19"/>
                <w:szCs w:val="19"/>
              </w:rPr>
            </w:pPr>
            <w:r w:rsidRPr="001F4687">
              <w:rPr>
                <w:rFonts w:ascii="Times New Roman" w:hAnsi="Times New Roman" w:cs="Times New Roman"/>
                <w:iCs/>
                <w:spacing w:val="-4"/>
                <w:sz w:val="19"/>
                <w:szCs w:val="19"/>
              </w:rPr>
              <w:t>Поступления по указанному доходному источнику составили 7,0 млн. рублей, что на 4,2 млн. рублей или в 2,5 раза больше прогноза, учтенного в Федеральном законе №</w:t>
            </w:r>
            <w:r>
              <w:rPr>
                <w:rFonts w:ascii="Times New Roman" w:hAnsi="Times New Roman" w:cs="Times New Roman"/>
                <w:iCs/>
                <w:spacing w:val="-4"/>
                <w:sz w:val="19"/>
                <w:szCs w:val="19"/>
              </w:rPr>
              <w:t> </w:t>
            </w:r>
            <w:r w:rsidRPr="001F4687">
              <w:rPr>
                <w:rFonts w:ascii="Times New Roman" w:hAnsi="Times New Roman" w:cs="Times New Roman"/>
                <w:iCs/>
                <w:spacing w:val="-4"/>
                <w:sz w:val="19"/>
                <w:szCs w:val="19"/>
              </w:rPr>
              <w:t>385-ФЗ, что обусловлено увеличением поступлений неустоек (пеней) от юридических и физических лиц за нарушение условий соответствующих государственных контрактов (договоров).</w:t>
            </w:r>
          </w:p>
          <w:p w:rsidR="001F4687" w:rsidRPr="001F4687" w:rsidRDefault="001F4687" w:rsidP="001F4687">
            <w:pPr>
              <w:ind w:firstLine="346"/>
              <w:jc w:val="both"/>
              <w:rPr>
                <w:rFonts w:ascii="Times New Roman" w:hAnsi="Times New Roman" w:cs="Times New Roman"/>
                <w:iCs/>
                <w:spacing w:val="-4"/>
                <w:sz w:val="19"/>
                <w:szCs w:val="19"/>
              </w:rPr>
            </w:pPr>
            <w:r w:rsidRPr="001F4687">
              <w:rPr>
                <w:rFonts w:ascii="Times New Roman" w:hAnsi="Times New Roman" w:cs="Times New Roman"/>
                <w:iCs/>
                <w:spacing w:val="-4"/>
                <w:sz w:val="19"/>
                <w:szCs w:val="19"/>
              </w:rPr>
              <w:t>Поступление указанных доходов увеличилось относительно показателей предыдущего года на 4,65 млн. рублей, или в 3,4 раза.</w:t>
            </w:r>
          </w:p>
          <w:p w:rsidR="003C3A7D" w:rsidRPr="001F4687" w:rsidRDefault="003C3A7D" w:rsidP="001F4687">
            <w:pPr>
              <w:ind w:firstLine="346"/>
              <w:jc w:val="both"/>
              <w:rPr>
                <w:rFonts w:ascii="Times New Roman" w:hAnsi="Times New Roman" w:cs="Times New Roman"/>
                <w:iCs/>
                <w:spacing w:val="-4"/>
                <w:sz w:val="19"/>
                <w:szCs w:val="19"/>
              </w:rPr>
            </w:pPr>
          </w:p>
        </w:tc>
      </w:tr>
      <w:tr w:rsidR="000B180A" w:rsidRPr="000B180A" w:rsidTr="00D50EE7">
        <w:tc>
          <w:tcPr>
            <w:tcW w:w="3056" w:type="dxa"/>
            <w:vAlign w:val="center"/>
          </w:tcPr>
          <w:p w:rsidR="003C3A7D" w:rsidRPr="00C92693"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C92693">
              <w:rPr>
                <w:rFonts w:ascii="Times New Roman" w:hAnsi="Times New Roman" w:cs="Times New Roman"/>
                <w:b/>
                <w:iCs/>
                <w:sz w:val="19"/>
                <w:szCs w:val="19"/>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p w:rsidR="00761B53" w:rsidRPr="00C92693"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C92693">
              <w:rPr>
                <w:rFonts w:ascii="Times New Roman" w:hAnsi="Times New Roman" w:cs="Times New Roman"/>
                <w:iCs/>
                <w:sz w:val="19"/>
                <w:szCs w:val="19"/>
              </w:rPr>
              <w:t>(КБК 092 1 16 07090 01 0000 140)</w:t>
            </w:r>
          </w:p>
        </w:tc>
        <w:tc>
          <w:tcPr>
            <w:tcW w:w="6975" w:type="dxa"/>
          </w:tcPr>
          <w:p w:rsidR="00C92693" w:rsidRPr="00C92693" w:rsidRDefault="00C92693" w:rsidP="00C92693">
            <w:pPr>
              <w:ind w:firstLine="346"/>
              <w:jc w:val="both"/>
              <w:rPr>
                <w:rFonts w:ascii="Times New Roman" w:hAnsi="Times New Roman" w:cs="Times New Roman"/>
                <w:iCs/>
                <w:spacing w:val="-4"/>
                <w:sz w:val="19"/>
                <w:szCs w:val="19"/>
              </w:rPr>
            </w:pPr>
            <w:r w:rsidRPr="00C92693">
              <w:rPr>
                <w:rFonts w:ascii="Times New Roman" w:hAnsi="Times New Roman" w:cs="Times New Roman"/>
                <w:iCs/>
                <w:spacing w:val="-4"/>
                <w:sz w:val="19"/>
                <w:szCs w:val="19"/>
              </w:rPr>
              <w:t>Прогноз установлен в сумме 8,6 млн. рублей.</w:t>
            </w:r>
          </w:p>
          <w:p w:rsidR="003C3A7D" w:rsidRPr="00C92693" w:rsidRDefault="00C92693" w:rsidP="00C92693">
            <w:pPr>
              <w:ind w:firstLine="346"/>
              <w:jc w:val="both"/>
              <w:rPr>
                <w:rFonts w:ascii="Times New Roman" w:hAnsi="Times New Roman" w:cs="Times New Roman"/>
                <w:iCs/>
                <w:spacing w:val="-4"/>
                <w:sz w:val="19"/>
                <w:szCs w:val="19"/>
              </w:rPr>
            </w:pPr>
            <w:proofErr w:type="gramStart"/>
            <w:r w:rsidRPr="00C92693">
              <w:rPr>
                <w:rFonts w:ascii="Times New Roman" w:hAnsi="Times New Roman" w:cs="Times New Roman"/>
                <w:iCs/>
                <w:spacing w:val="-4"/>
                <w:sz w:val="19"/>
                <w:szCs w:val="19"/>
              </w:rPr>
              <w:t>Поступления по указанному доходному источнику составили 29,5 млн. рублей, что на 20,9 млн. рублей или в 3,4 раза больше прогноза, учтенного в Федеральном законе № 385-ФЗ, что связано с увеличением поступлением штрафов от юридических и физических лиц за нарушение условий соответствующих договоров, а также уплаченных в случае неисполнения или ненадлежащего исполнения обязательств по контрактам, заключенным в рамках реализации проектов с участием</w:t>
            </w:r>
            <w:proofErr w:type="gramEnd"/>
            <w:r w:rsidRPr="00C92693">
              <w:rPr>
                <w:rFonts w:ascii="Times New Roman" w:hAnsi="Times New Roman" w:cs="Times New Roman"/>
                <w:iCs/>
                <w:spacing w:val="-4"/>
                <w:sz w:val="19"/>
                <w:szCs w:val="19"/>
              </w:rPr>
              <w:t xml:space="preserve"> международных финансовых организаций.</w:t>
            </w:r>
          </w:p>
        </w:tc>
      </w:tr>
      <w:tr w:rsidR="000B180A" w:rsidRPr="000B180A" w:rsidTr="00D50EE7">
        <w:tc>
          <w:tcPr>
            <w:tcW w:w="3056" w:type="dxa"/>
            <w:vAlign w:val="center"/>
          </w:tcPr>
          <w:p w:rsidR="003C3A7D" w:rsidRPr="005D4838"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5D4838">
              <w:rPr>
                <w:rFonts w:ascii="Times New Roman" w:hAnsi="Times New Roman" w:cs="Times New Roman"/>
                <w:b/>
                <w:iCs/>
                <w:sz w:val="19"/>
                <w:szCs w:val="19"/>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p w:rsidR="00761B53" w:rsidRPr="005D4838"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5D4838">
              <w:rPr>
                <w:rFonts w:ascii="Times New Roman" w:hAnsi="Times New Roman" w:cs="Times New Roman"/>
                <w:iCs/>
                <w:sz w:val="19"/>
                <w:szCs w:val="19"/>
              </w:rPr>
              <w:t>(КБК 092 1 16 09010 01 0000 140)</w:t>
            </w:r>
          </w:p>
        </w:tc>
        <w:tc>
          <w:tcPr>
            <w:tcW w:w="6975" w:type="dxa"/>
          </w:tcPr>
          <w:p w:rsidR="005D4838" w:rsidRPr="005D4838" w:rsidRDefault="005D4838" w:rsidP="005D4838">
            <w:pPr>
              <w:ind w:firstLine="346"/>
              <w:jc w:val="both"/>
              <w:rPr>
                <w:rFonts w:ascii="Times New Roman" w:hAnsi="Times New Roman" w:cs="Times New Roman"/>
                <w:iCs/>
                <w:spacing w:val="-4"/>
                <w:sz w:val="19"/>
                <w:szCs w:val="19"/>
              </w:rPr>
            </w:pPr>
            <w:r w:rsidRPr="005D4838">
              <w:rPr>
                <w:rFonts w:ascii="Times New Roman" w:hAnsi="Times New Roman" w:cs="Times New Roman"/>
                <w:iCs/>
                <w:spacing w:val="-4"/>
                <w:sz w:val="19"/>
                <w:szCs w:val="19"/>
              </w:rPr>
              <w:t xml:space="preserve">Прогноз установлен в сумме 350,1 млн. рублей.  </w:t>
            </w:r>
          </w:p>
          <w:p w:rsidR="005D4838" w:rsidRPr="005D4838" w:rsidRDefault="005D4838" w:rsidP="005D4838">
            <w:pPr>
              <w:ind w:firstLine="346"/>
              <w:jc w:val="both"/>
              <w:rPr>
                <w:rFonts w:ascii="Times New Roman" w:hAnsi="Times New Roman" w:cs="Times New Roman"/>
                <w:iCs/>
                <w:spacing w:val="-4"/>
                <w:sz w:val="19"/>
                <w:szCs w:val="19"/>
              </w:rPr>
            </w:pPr>
            <w:proofErr w:type="gramStart"/>
            <w:r w:rsidRPr="005D4838">
              <w:rPr>
                <w:rFonts w:ascii="Times New Roman" w:hAnsi="Times New Roman" w:cs="Times New Roman"/>
                <w:iCs/>
                <w:spacing w:val="-4"/>
                <w:sz w:val="19"/>
                <w:szCs w:val="19"/>
              </w:rPr>
              <w:t>Фактические поступления в 2021 году отсутствуют в связи с исключением данного коды бюджетной классификации в соответствии с приказом Минфина России от 29 апреля 2021 г. № 197 «О внесении изменений в приложение №</w:t>
            </w:r>
            <w:r>
              <w:rPr>
                <w:rFonts w:ascii="Times New Roman" w:hAnsi="Times New Roman" w:cs="Times New Roman"/>
                <w:iCs/>
                <w:spacing w:val="-4"/>
                <w:sz w:val="19"/>
                <w:szCs w:val="19"/>
              </w:rPr>
              <w:t> </w:t>
            </w:r>
            <w:r w:rsidRPr="005D4838">
              <w:rPr>
                <w:rFonts w:ascii="Times New Roman" w:hAnsi="Times New Roman" w:cs="Times New Roman"/>
                <w:iCs/>
                <w:spacing w:val="-4"/>
                <w:sz w:val="19"/>
                <w:szCs w:val="19"/>
              </w:rPr>
              <w:t>2 к приказу Министерства финансов Российской Федерации от 3 ноября 2020 г. №</w:t>
            </w:r>
            <w:r>
              <w:rPr>
                <w:rFonts w:ascii="Times New Roman" w:hAnsi="Times New Roman" w:cs="Times New Roman"/>
                <w:iCs/>
                <w:spacing w:val="-4"/>
                <w:sz w:val="19"/>
                <w:szCs w:val="19"/>
              </w:rPr>
              <w:t> </w:t>
            </w:r>
            <w:r w:rsidRPr="005D4838">
              <w:rPr>
                <w:rFonts w:ascii="Times New Roman" w:hAnsi="Times New Roman" w:cs="Times New Roman"/>
                <w:iCs/>
                <w:spacing w:val="-4"/>
                <w:sz w:val="19"/>
                <w:szCs w:val="19"/>
              </w:rPr>
              <w:t>1016 «Об организации в Министерстве финансов Российской Федерации работы по осуществлению бюджетных полномочий администраторов доходов федерального бюджета».</w:t>
            </w:r>
            <w:proofErr w:type="gramEnd"/>
          </w:p>
          <w:p w:rsidR="003C3A7D" w:rsidRPr="005D4838" w:rsidRDefault="003C3A7D" w:rsidP="005D4838">
            <w:pPr>
              <w:widowControl w:val="0"/>
              <w:overflowPunct w:val="0"/>
              <w:jc w:val="both"/>
              <w:textAlignment w:val="baseline"/>
              <w:rPr>
                <w:rFonts w:ascii="Times New Roman" w:hAnsi="Times New Roman" w:cs="Times New Roman"/>
                <w:iCs/>
                <w:spacing w:val="-4"/>
                <w:sz w:val="19"/>
                <w:szCs w:val="19"/>
              </w:rPr>
            </w:pPr>
          </w:p>
        </w:tc>
      </w:tr>
      <w:tr w:rsidR="000B180A" w:rsidRPr="000B180A" w:rsidTr="00D50EE7">
        <w:tc>
          <w:tcPr>
            <w:tcW w:w="3056" w:type="dxa"/>
            <w:vAlign w:val="center"/>
          </w:tcPr>
          <w:p w:rsidR="00761B53" w:rsidRPr="001C34D6"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1C34D6">
              <w:rPr>
                <w:rFonts w:ascii="Times New Roman" w:hAnsi="Times New Roman" w:cs="Times New Roman"/>
                <w:b/>
                <w:iCs/>
                <w:sz w:val="19"/>
                <w:szCs w:val="19"/>
              </w:rPr>
              <w:t>Возмещение ущерба при возникновении страховых случаев, когда выгодоприобретателями выступают получатели средств федерального бюджета</w:t>
            </w:r>
          </w:p>
          <w:p w:rsidR="00761B53" w:rsidRPr="001C34D6" w:rsidRDefault="00761B53"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1C34D6">
              <w:rPr>
                <w:rFonts w:ascii="Times New Roman" w:hAnsi="Times New Roman" w:cs="Times New Roman"/>
                <w:iCs/>
                <w:sz w:val="19"/>
                <w:szCs w:val="19"/>
              </w:rPr>
              <w:t>(КБК 092 1 16 10012 01 0000 140)</w:t>
            </w:r>
          </w:p>
        </w:tc>
        <w:tc>
          <w:tcPr>
            <w:tcW w:w="6975" w:type="dxa"/>
          </w:tcPr>
          <w:p w:rsidR="001C34D6" w:rsidRPr="001C34D6" w:rsidRDefault="001C34D6" w:rsidP="001C34D6">
            <w:pPr>
              <w:ind w:firstLine="346"/>
              <w:jc w:val="both"/>
              <w:rPr>
                <w:rFonts w:ascii="Times New Roman" w:hAnsi="Times New Roman" w:cs="Times New Roman"/>
                <w:iCs/>
                <w:spacing w:val="-4"/>
                <w:sz w:val="19"/>
                <w:szCs w:val="19"/>
              </w:rPr>
            </w:pPr>
            <w:r w:rsidRPr="001C34D6">
              <w:rPr>
                <w:rFonts w:ascii="Times New Roman" w:hAnsi="Times New Roman" w:cs="Times New Roman"/>
                <w:iCs/>
                <w:spacing w:val="-4"/>
                <w:sz w:val="19"/>
                <w:szCs w:val="19"/>
              </w:rPr>
              <w:t xml:space="preserve">Прогноз установлен в сумме 259,2 тыс. рублей. По данному коду бюджетной классификации прогнозировалось поступление доходов от возмещения ущерба при возникновении страховых случаев в соответствии с Федеральным законом от 25 апреля 2002 г. № 40-ФЗ «Об обязательном страховании гражданской   ответственности владельцев транспортных средств». В соответствии с Методикой прогнозирования поступлений доходов объем поступлений определяется методом усреднения полученных доходов на основании имеющихся данных об изменении поступлений за предшествующие три года. </w:t>
            </w:r>
          </w:p>
          <w:p w:rsidR="00761B53" w:rsidRPr="001C34D6" w:rsidRDefault="001C34D6" w:rsidP="001C34D6">
            <w:pPr>
              <w:ind w:firstLine="346"/>
              <w:jc w:val="both"/>
              <w:rPr>
                <w:rFonts w:ascii="Times New Roman" w:hAnsi="Times New Roman" w:cs="Times New Roman"/>
                <w:iCs/>
                <w:spacing w:val="-4"/>
                <w:sz w:val="19"/>
                <w:szCs w:val="19"/>
              </w:rPr>
            </w:pPr>
            <w:r w:rsidRPr="001C34D6">
              <w:rPr>
                <w:rFonts w:ascii="Times New Roman" w:hAnsi="Times New Roman" w:cs="Times New Roman"/>
                <w:iCs/>
                <w:spacing w:val="-4"/>
                <w:sz w:val="19"/>
                <w:szCs w:val="19"/>
              </w:rPr>
              <w:t>В течение 2021 года поступление доходов по данному коду бюджетной классификации отсутствовало.</w:t>
            </w:r>
          </w:p>
        </w:tc>
      </w:tr>
      <w:tr w:rsidR="008C0569" w:rsidRPr="000B180A" w:rsidTr="00D50EE7">
        <w:tc>
          <w:tcPr>
            <w:tcW w:w="3056" w:type="dxa"/>
            <w:vAlign w:val="center"/>
          </w:tcPr>
          <w:p w:rsidR="008C0569" w:rsidRPr="008C0569" w:rsidRDefault="008C0569" w:rsidP="008C0569">
            <w:pPr>
              <w:widowControl w:val="0"/>
              <w:overflowPunct w:val="0"/>
              <w:autoSpaceDE w:val="0"/>
              <w:autoSpaceDN w:val="0"/>
              <w:adjustRightInd w:val="0"/>
              <w:jc w:val="both"/>
              <w:textAlignment w:val="baseline"/>
              <w:rPr>
                <w:rFonts w:ascii="Times New Roman" w:hAnsi="Times New Roman" w:cs="Times New Roman"/>
                <w:b/>
                <w:iCs/>
                <w:sz w:val="19"/>
                <w:szCs w:val="19"/>
              </w:rPr>
            </w:pPr>
            <w:r w:rsidRPr="008C0569">
              <w:rPr>
                <w:rFonts w:ascii="Times New Roman" w:hAnsi="Times New Roman" w:cs="Times New Roman"/>
                <w:b/>
                <w:iCs/>
                <w:sz w:val="19"/>
                <w:szCs w:val="19"/>
              </w:rPr>
              <w:t xml:space="preserve">Прочие поступления от </w:t>
            </w:r>
            <w:r w:rsidRPr="008C0569">
              <w:rPr>
                <w:rFonts w:ascii="Times New Roman" w:hAnsi="Times New Roman" w:cs="Times New Roman"/>
                <w:b/>
                <w:iCs/>
                <w:sz w:val="19"/>
                <w:szCs w:val="19"/>
              </w:rPr>
              <w:lastRenderedPageBreak/>
              <w:t xml:space="preserve">возмещения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w:t>
            </w:r>
            <w:r w:rsidRPr="008C0569">
              <w:rPr>
                <w:rFonts w:ascii="Times New Roman" w:hAnsi="Times New Roman" w:cs="Times New Roman"/>
                <w:iCs/>
                <w:sz w:val="19"/>
                <w:szCs w:val="19"/>
              </w:rPr>
              <w:t>(КБК 092 1 16 10013 01 0000 140)</w:t>
            </w:r>
          </w:p>
        </w:tc>
        <w:tc>
          <w:tcPr>
            <w:tcW w:w="6975" w:type="dxa"/>
          </w:tcPr>
          <w:p w:rsidR="008C0569" w:rsidRPr="008C0569" w:rsidRDefault="008C0569" w:rsidP="008C0569">
            <w:pPr>
              <w:ind w:firstLine="346"/>
              <w:jc w:val="both"/>
              <w:rPr>
                <w:rFonts w:ascii="Times New Roman" w:hAnsi="Times New Roman" w:cs="Times New Roman"/>
                <w:iCs/>
                <w:spacing w:val="-4"/>
                <w:sz w:val="19"/>
                <w:szCs w:val="19"/>
              </w:rPr>
            </w:pPr>
            <w:r w:rsidRPr="008C0569">
              <w:rPr>
                <w:rFonts w:ascii="Times New Roman" w:hAnsi="Times New Roman" w:cs="Times New Roman"/>
                <w:iCs/>
                <w:spacing w:val="-4"/>
                <w:sz w:val="19"/>
                <w:szCs w:val="19"/>
              </w:rPr>
              <w:lastRenderedPageBreak/>
              <w:t xml:space="preserve">Прогноз не формировался. По данному коду бюджетной классификации </w:t>
            </w:r>
            <w:r w:rsidRPr="008C0569">
              <w:rPr>
                <w:rFonts w:ascii="Times New Roman" w:hAnsi="Times New Roman" w:cs="Times New Roman"/>
                <w:iCs/>
                <w:spacing w:val="-4"/>
                <w:sz w:val="19"/>
                <w:szCs w:val="19"/>
              </w:rPr>
              <w:lastRenderedPageBreak/>
              <w:t xml:space="preserve">учитываются денежные средства, поступившие в порядке регресса и поворота (отмены) судебного акта. </w:t>
            </w:r>
          </w:p>
          <w:p w:rsidR="008C0569" w:rsidRPr="008C0569" w:rsidRDefault="008C0569" w:rsidP="008C0569">
            <w:pPr>
              <w:ind w:firstLine="346"/>
              <w:jc w:val="both"/>
              <w:rPr>
                <w:rFonts w:ascii="Times New Roman" w:hAnsi="Times New Roman" w:cs="Times New Roman"/>
                <w:iCs/>
                <w:spacing w:val="-4"/>
                <w:sz w:val="19"/>
                <w:szCs w:val="19"/>
              </w:rPr>
            </w:pPr>
            <w:r w:rsidRPr="008C0569">
              <w:rPr>
                <w:rFonts w:ascii="Times New Roman" w:hAnsi="Times New Roman" w:cs="Times New Roman"/>
                <w:iCs/>
                <w:spacing w:val="-4"/>
                <w:sz w:val="19"/>
                <w:szCs w:val="19"/>
              </w:rPr>
              <w:t>Поступления по указанному доходному источнику составили 67,2 млн. рублей.</w:t>
            </w:r>
          </w:p>
          <w:p w:rsidR="008C0569" w:rsidRPr="008C0569" w:rsidRDefault="008C0569" w:rsidP="008C0569">
            <w:pPr>
              <w:ind w:firstLine="346"/>
              <w:jc w:val="both"/>
              <w:rPr>
                <w:rFonts w:ascii="Times New Roman" w:hAnsi="Times New Roman" w:cs="Times New Roman"/>
                <w:iCs/>
                <w:spacing w:val="-4"/>
                <w:sz w:val="19"/>
                <w:szCs w:val="19"/>
              </w:rPr>
            </w:pPr>
          </w:p>
        </w:tc>
      </w:tr>
      <w:tr w:rsidR="000B180A" w:rsidRPr="008C0569" w:rsidTr="00D50EE7">
        <w:tc>
          <w:tcPr>
            <w:tcW w:w="3056" w:type="dxa"/>
            <w:vAlign w:val="center"/>
          </w:tcPr>
          <w:p w:rsidR="00761B53" w:rsidRPr="008C0569" w:rsidRDefault="00761B53"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8C0569">
              <w:rPr>
                <w:rFonts w:ascii="Times New Roman" w:hAnsi="Times New Roman" w:cs="Times New Roman"/>
                <w:b/>
                <w:iCs/>
                <w:sz w:val="19"/>
                <w:szCs w:val="19"/>
              </w:rPr>
              <w:lastRenderedPageBreak/>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p>
          <w:p w:rsidR="00F6153A" w:rsidRPr="008C0569" w:rsidRDefault="00F6153A"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8C0569">
              <w:rPr>
                <w:rFonts w:ascii="Times New Roman" w:hAnsi="Times New Roman" w:cs="Times New Roman"/>
                <w:iCs/>
                <w:sz w:val="19"/>
                <w:szCs w:val="19"/>
              </w:rPr>
              <w:t>(КБК 092 1 16 10071 01 0000 140)</w:t>
            </w:r>
          </w:p>
        </w:tc>
        <w:tc>
          <w:tcPr>
            <w:tcW w:w="6975" w:type="dxa"/>
          </w:tcPr>
          <w:p w:rsidR="008C0569" w:rsidRPr="008C0569" w:rsidRDefault="008C0569" w:rsidP="008C0569">
            <w:pPr>
              <w:ind w:firstLine="346"/>
              <w:jc w:val="both"/>
              <w:rPr>
                <w:rFonts w:ascii="Times New Roman" w:hAnsi="Times New Roman" w:cs="Times New Roman"/>
                <w:iCs/>
                <w:spacing w:val="-4"/>
                <w:sz w:val="19"/>
                <w:szCs w:val="19"/>
              </w:rPr>
            </w:pPr>
            <w:r w:rsidRPr="008C0569">
              <w:rPr>
                <w:rFonts w:ascii="Times New Roman" w:hAnsi="Times New Roman" w:cs="Times New Roman"/>
                <w:iCs/>
                <w:spacing w:val="-4"/>
                <w:sz w:val="19"/>
                <w:szCs w:val="19"/>
              </w:rPr>
              <w:t xml:space="preserve">Прогноз установлен в сумме 57,4 тыс. рублей. </w:t>
            </w:r>
            <w:proofErr w:type="gramStart"/>
            <w:r w:rsidRPr="008C0569">
              <w:rPr>
                <w:rFonts w:ascii="Times New Roman" w:hAnsi="Times New Roman" w:cs="Times New Roman"/>
                <w:iCs/>
                <w:spacing w:val="-4"/>
                <w:sz w:val="19"/>
                <w:szCs w:val="19"/>
              </w:rPr>
              <w:t>По данному коду бюджетной классификации прогнозировалось поступление доходов, полученных в результате применения мер ответственности в связи с односторонним отказом исполнителя  (подрядчика) от исполнения государственного контракта (договора) в соответствии с положениями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постановления Правительства Российской Федерации от 30 августа</w:t>
            </w:r>
            <w:proofErr w:type="gramEnd"/>
            <w:r w:rsidRPr="008C0569">
              <w:rPr>
                <w:rFonts w:ascii="Times New Roman" w:hAnsi="Times New Roman" w:cs="Times New Roman"/>
                <w:iCs/>
                <w:spacing w:val="-4"/>
                <w:sz w:val="19"/>
                <w:szCs w:val="19"/>
              </w:rPr>
              <w:t xml:space="preserve"> </w:t>
            </w:r>
            <w:proofErr w:type="gramStart"/>
            <w:r w:rsidRPr="008C0569">
              <w:rPr>
                <w:rFonts w:ascii="Times New Roman" w:hAnsi="Times New Roman" w:cs="Times New Roman"/>
                <w:iCs/>
                <w:spacing w:val="-4"/>
                <w:sz w:val="19"/>
                <w:szCs w:val="19"/>
              </w:rPr>
              <w:t>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w:t>
            </w:r>
            <w:proofErr w:type="gramEnd"/>
            <w:r w:rsidRPr="008C0569">
              <w:rPr>
                <w:rFonts w:ascii="Times New Roman" w:hAnsi="Times New Roman" w:cs="Times New Roman"/>
                <w:iCs/>
                <w:spacing w:val="-4"/>
                <w:sz w:val="19"/>
                <w:szCs w:val="19"/>
              </w:rPr>
              <w:t xml:space="preserve"> г. № 1063» и в соответствии с соответствующими пунктами государственных контрактов (договоров), заключенными с исполнителями государственных контрактов (договоров). В соответствии с Методикой прогнозирования поступлений доходов объем поступлений определяется методом усреднения полученных доходов на основании имеющихся данных об изменении поступлений за предшествующие три года. </w:t>
            </w:r>
          </w:p>
          <w:p w:rsidR="008C0569" w:rsidRPr="008C0569" w:rsidRDefault="008C0569" w:rsidP="008C0569">
            <w:pPr>
              <w:ind w:firstLine="346"/>
              <w:jc w:val="both"/>
              <w:rPr>
                <w:rFonts w:ascii="Times New Roman" w:hAnsi="Times New Roman" w:cs="Times New Roman"/>
                <w:iCs/>
                <w:spacing w:val="-4"/>
                <w:sz w:val="19"/>
                <w:szCs w:val="19"/>
              </w:rPr>
            </w:pPr>
            <w:r w:rsidRPr="008C0569">
              <w:rPr>
                <w:rFonts w:ascii="Times New Roman" w:hAnsi="Times New Roman" w:cs="Times New Roman"/>
                <w:iCs/>
                <w:spacing w:val="-4"/>
                <w:sz w:val="19"/>
                <w:szCs w:val="19"/>
              </w:rPr>
              <w:t>Поступления по указанному доходному источнику составили 470,2 тыс. рублей, что на 412,8 тыс. рулей, или в 8,2 раза больше прогноза, учтенного в Федеральном законе № 385-ФЗ.</w:t>
            </w:r>
          </w:p>
          <w:p w:rsidR="00761B53" w:rsidRPr="008C0569" w:rsidRDefault="008C0569" w:rsidP="008C0569">
            <w:pPr>
              <w:ind w:firstLine="346"/>
              <w:jc w:val="both"/>
              <w:rPr>
                <w:rFonts w:ascii="Times New Roman" w:hAnsi="Times New Roman" w:cs="Times New Roman"/>
                <w:iCs/>
                <w:spacing w:val="-4"/>
                <w:sz w:val="19"/>
                <w:szCs w:val="19"/>
              </w:rPr>
            </w:pPr>
            <w:r w:rsidRPr="008C0569">
              <w:rPr>
                <w:rFonts w:ascii="Times New Roman" w:hAnsi="Times New Roman" w:cs="Times New Roman"/>
                <w:iCs/>
                <w:spacing w:val="-4"/>
                <w:sz w:val="19"/>
                <w:szCs w:val="19"/>
              </w:rPr>
              <w:t>Увеличение поступления доходов обусловлено поступлением штрафа от АО «МОСКОМБАНК» (</w:t>
            </w:r>
            <w:proofErr w:type="gramStart"/>
            <w:r w:rsidRPr="008C0569">
              <w:rPr>
                <w:rFonts w:ascii="Times New Roman" w:hAnsi="Times New Roman" w:cs="Times New Roman"/>
                <w:iCs/>
                <w:spacing w:val="-4"/>
                <w:sz w:val="19"/>
                <w:szCs w:val="19"/>
              </w:rPr>
              <w:t>за</w:t>
            </w:r>
            <w:proofErr w:type="gramEnd"/>
            <w:r w:rsidRPr="008C0569">
              <w:rPr>
                <w:rFonts w:ascii="Times New Roman" w:hAnsi="Times New Roman" w:cs="Times New Roman"/>
                <w:iCs/>
                <w:spacing w:val="-4"/>
                <w:sz w:val="19"/>
                <w:szCs w:val="19"/>
              </w:rPr>
              <w:t xml:space="preserve"> «</w:t>
            </w:r>
            <w:proofErr w:type="gramStart"/>
            <w:r w:rsidRPr="008C0569">
              <w:rPr>
                <w:rFonts w:ascii="Times New Roman" w:hAnsi="Times New Roman" w:cs="Times New Roman"/>
                <w:iCs/>
                <w:spacing w:val="-4"/>
                <w:sz w:val="19"/>
                <w:szCs w:val="19"/>
              </w:rPr>
              <w:t>ГРУППА</w:t>
            </w:r>
            <w:proofErr w:type="gramEnd"/>
            <w:r w:rsidRPr="008C0569">
              <w:rPr>
                <w:rFonts w:ascii="Times New Roman" w:hAnsi="Times New Roman" w:cs="Times New Roman"/>
                <w:iCs/>
                <w:spacing w:val="-4"/>
                <w:sz w:val="19"/>
                <w:szCs w:val="19"/>
              </w:rPr>
              <w:t xml:space="preserve"> КОМПАНИЙ СВТ») в связи с решением об одностороннем отказе от исполнения контракта Минфином России.</w:t>
            </w:r>
          </w:p>
        </w:tc>
      </w:tr>
      <w:tr w:rsidR="000B180A" w:rsidRPr="008C0569" w:rsidTr="00D50EE7">
        <w:tc>
          <w:tcPr>
            <w:tcW w:w="3056" w:type="dxa"/>
            <w:vAlign w:val="center"/>
          </w:tcPr>
          <w:p w:rsidR="00761B53" w:rsidRPr="008C0569" w:rsidRDefault="00F6153A"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8C0569">
              <w:rPr>
                <w:rFonts w:ascii="Times New Roman" w:hAnsi="Times New Roman" w:cs="Times New Roman"/>
                <w:b/>
                <w:iCs/>
                <w:sz w:val="19"/>
                <w:szCs w:val="19"/>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p w:rsidR="00F6153A" w:rsidRPr="008C0569" w:rsidRDefault="00F6153A"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8C0569">
              <w:rPr>
                <w:rFonts w:ascii="Times New Roman" w:hAnsi="Times New Roman" w:cs="Times New Roman"/>
                <w:iCs/>
                <w:sz w:val="19"/>
                <w:szCs w:val="19"/>
              </w:rPr>
              <w:t>(КБК 092 1 16 10121 01 0000 140)</w:t>
            </w:r>
          </w:p>
        </w:tc>
        <w:tc>
          <w:tcPr>
            <w:tcW w:w="6975" w:type="dxa"/>
          </w:tcPr>
          <w:p w:rsidR="00F6153A" w:rsidRPr="008C0569" w:rsidRDefault="00F6153A" w:rsidP="00660B71">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Первоначальный прогноз поступлений не установлен.</w:t>
            </w:r>
          </w:p>
          <w:p w:rsidR="00F6153A" w:rsidRPr="008C0569" w:rsidRDefault="008C0569" w:rsidP="00660B71">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В 2021 году погашена дебиторская задолженность, образовавшаяся до 1 января 2020 года, в размере 1,6 млн. рублей.</w:t>
            </w:r>
          </w:p>
          <w:p w:rsidR="00761B53" w:rsidRPr="008C0569" w:rsidRDefault="00761B53" w:rsidP="00660B71">
            <w:pPr>
              <w:widowControl w:val="0"/>
              <w:overflowPunct w:val="0"/>
              <w:autoSpaceDE w:val="0"/>
              <w:autoSpaceDN w:val="0"/>
              <w:adjustRightInd w:val="0"/>
              <w:ind w:firstLine="346"/>
              <w:jc w:val="both"/>
              <w:textAlignment w:val="baseline"/>
              <w:rPr>
                <w:rFonts w:ascii="Times New Roman" w:hAnsi="Times New Roman" w:cs="Times New Roman"/>
                <w:spacing w:val="-4"/>
                <w:sz w:val="19"/>
                <w:szCs w:val="19"/>
              </w:rPr>
            </w:pPr>
          </w:p>
        </w:tc>
      </w:tr>
      <w:tr w:rsidR="000B180A" w:rsidRPr="000B180A" w:rsidTr="00D50EE7">
        <w:tc>
          <w:tcPr>
            <w:tcW w:w="3056" w:type="dxa"/>
            <w:vAlign w:val="center"/>
          </w:tcPr>
          <w:p w:rsidR="00761B53" w:rsidRPr="008C0569" w:rsidRDefault="00F6153A" w:rsidP="006066BF">
            <w:pPr>
              <w:widowControl w:val="0"/>
              <w:overflowPunct w:val="0"/>
              <w:autoSpaceDE w:val="0"/>
              <w:autoSpaceDN w:val="0"/>
              <w:adjustRightInd w:val="0"/>
              <w:jc w:val="both"/>
              <w:textAlignment w:val="baseline"/>
              <w:rPr>
                <w:rFonts w:ascii="Times New Roman" w:hAnsi="Times New Roman" w:cs="Times New Roman"/>
                <w:b/>
                <w:iCs/>
                <w:sz w:val="19"/>
                <w:szCs w:val="19"/>
              </w:rPr>
            </w:pPr>
            <w:r w:rsidRPr="008C0569">
              <w:rPr>
                <w:rFonts w:ascii="Times New Roman" w:hAnsi="Times New Roman" w:cs="Times New Roman"/>
                <w:b/>
                <w:iCs/>
                <w:sz w:val="19"/>
                <w:szCs w:val="19"/>
              </w:rPr>
              <w:t>Прочие неналоговые доходы федерального бюджета</w:t>
            </w:r>
          </w:p>
          <w:p w:rsidR="00F6153A" w:rsidRPr="008C0569" w:rsidRDefault="00F6153A" w:rsidP="006066BF">
            <w:pPr>
              <w:widowControl w:val="0"/>
              <w:overflowPunct w:val="0"/>
              <w:autoSpaceDE w:val="0"/>
              <w:autoSpaceDN w:val="0"/>
              <w:adjustRightInd w:val="0"/>
              <w:jc w:val="both"/>
              <w:textAlignment w:val="baseline"/>
              <w:rPr>
                <w:rFonts w:ascii="Times New Roman" w:hAnsi="Times New Roman" w:cs="Times New Roman"/>
                <w:spacing w:val="-4"/>
                <w:sz w:val="19"/>
                <w:szCs w:val="19"/>
              </w:rPr>
            </w:pPr>
            <w:r w:rsidRPr="008C0569">
              <w:rPr>
                <w:rFonts w:ascii="Times New Roman" w:hAnsi="Times New Roman" w:cs="Times New Roman"/>
                <w:iCs/>
                <w:sz w:val="19"/>
                <w:szCs w:val="19"/>
              </w:rPr>
              <w:t>(КБК 092 1 17 05010 01 0000 180)</w:t>
            </w:r>
          </w:p>
        </w:tc>
        <w:tc>
          <w:tcPr>
            <w:tcW w:w="6975" w:type="dxa"/>
          </w:tcPr>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 xml:space="preserve">Прогноз установлен в сумме 34 574,9 млн. рублей.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Поступления по указанному доходному источнику составили 18 129,8 млн. рублей, что на 16 445,1</w:t>
            </w:r>
            <w:r>
              <w:rPr>
                <w:rFonts w:ascii="Times New Roman" w:hAnsi="Times New Roman" w:cs="Times New Roman"/>
                <w:iCs/>
                <w:sz w:val="19"/>
                <w:szCs w:val="19"/>
              </w:rPr>
              <w:t> </w:t>
            </w:r>
            <w:r w:rsidRPr="008C0569">
              <w:rPr>
                <w:rFonts w:ascii="Times New Roman" w:hAnsi="Times New Roman" w:cs="Times New Roman"/>
                <w:iCs/>
                <w:sz w:val="19"/>
                <w:szCs w:val="19"/>
              </w:rPr>
              <w:t xml:space="preserve">млн. рублей или в 1,9 раза меньше прогноза, учтенного в Федеральном законе № 385-ФЗ.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Поступления по данному коду бюджетной классификации Российской Федерации в основном сложились за счет:</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 xml:space="preserve">возврата остатка взноса, образовавшегося после закрытия Чернобыльского фонда «Укрытие» под управлением Европейского банка реконструкции и развития (ЕБРР) (16,7 млн. рублей);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возврата остатка взноса, образовавшегося после закрытия программы приграничного сотрудничества «Россия - Юго-Восточная Финляндия» 2007 – 2013</w:t>
            </w:r>
            <w:r>
              <w:rPr>
                <w:rFonts w:ascii="Times New Roman" w:hAnsi="Times New Roman" w:cs="Times New Roman"/>
                <w:iCs/>
                <w:sz w:val="19"/>
                <w:szCs w:val="19"/>
              </w:rPr>
              <w:t> </w:t>
            </w:r>
            <w:r w:rsidRPr="008C0569">
              <w:rPr>
                <w:rFonts w:ascii="Times New Roman" w:hAnsi="Times New Roman" w:cs="Times New Roman"/>
                <w:iCs/>
                <w:sz w:val="19"/>
                <w:szCs w:val="19"/>
              </w:rPr>
              <w:t>гг. в соответствии с Соглашением между Правительством Российской Федерации и Европейским сообществом о финансировании и реализации программы приграничного сотрудничества «Юго-Восточная Финляндия - Россия» от 18</w:t>
            </w:r>
            <w:r>
              <w:rPr>
                <w:rFonts w:ascii="Times New Roman" w:hAnsi="Times New Roman" w:cs="Times New Roman"/>
                <w:iCs/>
                <w:sz w:val="19"/>
                <w:szCs w:val="19"/>
              </w:rPr>
              <w:t> </w:t>
            </w:r>
            <w:r w:rsidRPr="008C0569">
              <w:rPr>
                <w:rFonts w:ascii="Times New Roman" w:hAnsi="Times New Roman" w:cs="Times New Roman"/>
                <w:iCs/>
                <w:sz w:val="19"/>
                <w:szCs w:val="19"/>
              </w:rPr>
              <w:t xml:space="preserve">ноября 2009 г. (151,8 млн. рублей);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поступления от ГК «АСВ» процентов по субординированным займам банков, а также дивидендов по приобретенным акциям банков (17,3</w:t>
            </w:r>
            <w:r>
              <w:rPr>
                <w:rFonts w:ascii="Times New Roman" w:hAnsi="Times New Roman" w:cs="Times New Roman"/>
                <w:iCs/>
                <w:sz w:val="19"/>
                <w:szCs w:val="19"/>
              </w:rPr>
              <w:t> </w:t>
            </w:r>
            <w:r w:rsidRPr="008C0569">
              <w:rPr>
                <w:rFonts w:ascii="Times New Roman" w:hAnsi="Times New Roman" w:cs="Times New Roman"/>
                <w:iCs/>
                <w:sz w:val="19"/>
                <w:szCs w:val="19"/>
              </w:rPr>
              <w:t xml:space="preserve">млн. рублей);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поступления денежных средств от АО «АСЭ» (10,1</w:t>
            </w:r>
            <w:r>
              <w:rPr>
                <w:rFonts w:ascii="Times New Roman" w:hAnsi="Times New Roman" w:cs="Times New Roman"/>
                <w:iCs/>
                <w:sz w:val="19"/>
                <w:szCs w:val="19"/>
              </w:rPr>
              <w:t> </w:t>
            </w:r>
            <w:r w:rsidRPr="008C0569">
              <w:rPr>
                <w:rFonts w:ascii="Times New Roman" w:hAnsi="Times New Roman" w:cs="Times New Roman"/>
                <w:iCs/>
                <w:sz w:val="19"/>
                <w:szCs w:val="19"/>
              </w:rPr>
              <w:t xml:space="preserve">млн. рублей); </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поступления денежных средств по государственному контракту от АО «</w:t>
            </w:r>
            <w:proofErr w:type="spellStart"/>
            <w:r w:rsidRPr="008C0569">
              <w:rPr>
                <w:rFonts w:ascii="Times New Roman" w:hAnsi="Times New Roman" w:cs="Times New Roman"/>
                <w:iCs/>
                <w:sz w:val="19"/>
                <w:szCs w:val="19"/>
              </w:rPr>
              <w:t>Рособоронэкспорт</w:t>
            </w:r>
            <w:proofErr w:type="spellEnd"/>
            <w:r w:rsidRPr="008C0569">
              <w:rPr>
                <w:rFonts w:ascii="Times New Roman" w:hAnsi="Times New Roman" w:cs="Times New Roman"/>
                <w:iCs/>
                <w:sz w:val="19"/>
                <w:szCs w:val="19"/>
              </w:rPr>
              <w:t>» (187,5</w:t>
            </w:r>
            <w:r>
              <w:rPr>
                <w:rFonts w:ascii="Times New Roman" w:hAnsi="Times New Roman" w:cs="Times New Roman"/>
                <w:iCs/>
                <w:sz w:val="19"/>
                <w:szCs w:val="19"/>
              </w:rPr>
              <w:t> </w:t>
            </w:r>
            <w:r w:rsidRPr="008C0569">
              <w:rPr>
                <w:rFonts w:ascii="Times New Roman" w:hAnsi="Times New Roman" w:cs="Times New Roman"/>
                <w:iCs/>
                <w:sz w:val="19"/>
                <w:szCs w:val="19"/>
              </w:rPr>
              <w:t>млн. рублей);</w:t>
            </w:r>
          </w:p>
          <w:p w:rsidR="008C0569" w:rsidRPr="008C0569" w:rsidRDefault="008C0569" w:rsidP="008C0569">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поступлений от ВЭБ</w:t>
            </w:r>
            <w:proofErr w:type="gramStart"/>
            <w:r w:rsidRPr="008C0569">
              <w:rPr>
                <w:rFonts w:ascii="Times New Roman" w:hAnsi="Times New Roman" w:cs="Times New Roman"/>
                <w:iCs/>
                <w:sz w:val="19"/>
                <w:szCs w:val="19"/>
              </w:rPr>
              <w:t>.Р</w:t>
            </w:r>
            <w:proofErr w:type="gramEnd"/>
            <w:r w:rsidRPr="008C0569">
              <w:rPr>
                <w:rFonts w:ascii="Times New Roman" w:hAnsi="Times New Roman" w:cs="Times New Roman"/>
                <w:iCs/>
                <w:sz w:val="19"/>
                <w:szCs w:val="19"/>
              </w:rPr>
              <w:t xml:space="preserve">Ф по счетам «Счета по расчетам с Минфином России </w:t>
            </w:r>
            <w:r w:rsidRPr="008C0569">
              <w:rPr>
                <w:rFonts w:ascii="Times New Roman" w:hAnsi="Times New Roman" w:cs="Times New Roman"/>
                <w:iCs/>
                <w:sz w:val="19"/>
                <w:szCs w:val="19"/>
              </w:rPr>
              <w:lastRenderedPageBreak/>
              <w:t>для последующего целевого использования» (462,5</w:t>
            </w:r>
            <w:r>
              <w:rPr>
                <w:rFonts w:ascii="Times New Roman" w:hAnsi="Times New Roman" w:cs="Times New Roman"/>
                <w:iCs/>
                <w:sz w:val="19"/>
                <w:szCs w:val="19"/>
              </w:rPr>
              <w:t> </w:t>
            </w:r>
            <w:r w:rsidRPr="008C0569">
              <w:rPr>
                <w:rFonts w:ascii="Times New Roman" w:hAnsi="Times New Roman" w:cs="Times New Roman"/>
                <w:iCs/>
                <w:sz w:val="19"/>
                <w:szCs w:val="19"/>
              </w:rPr>
              <w:t>млн. рублей).</w:t>
            </w:r>
          </w:p>
          <w:p w:rsidR="00761B53" w:rsidRPr="008C0569" w:rsidRDefault="008C0569" w:rsidP="00E17ED6">
            <w:pPr>
              <w:autoSpaceDE w:val="0"/>
              <w:autoSpaceDN w:val="0"/>
              <w:adjustRightInd w:val="0"/>
              <w:ind w:firstLine="346"/>
              <w:jc w:val="both"/>
              <w:rPr>
                <w:rFonts w:ascii="Times New Roman" w:hAnsi="Times New Roman" w:cs="Times New Roman"/>
                <w:iCs/>
                <w:sz w:val="19"/>
                <w:szCs w:val="19"/>
              </w:rPr>
            </w:pPr>
            <w:r w:rsidRPr="008C0569">
              <w:rPr>
                <w:rFonts w:ascii="Times New Roman" w:hAnsi="Times New Roman" w:cs="Times New Roman"/>
                <w:iCs/>
                <w:sz w:val="19"/>
                <w:szCs w:val="19"/>
              </w:rPr>
              <w:t>Объем поступлений прочих неналоговых доходов уменьшился относительно поступлений в 2020 году на 8 823,7</w:t>
            </w:r>
            <w:r>
              <w:rPr>
                <w:rFonts w:ascii="Times New Roman" w:hAnsi="Times New Roman" w:cs="Times New Roman"/>
                <w:iCs/>
                <w:sz w:val="19"/>
                <w:szCs w:val="19"/>
              </w:rPr>
              <w:t> </w:t>
            </w:r>
            <w:r w:rsidRPr="008C0569">
              <w:rPr>
                <w:rFonts w:ascii="Times New Roman" w:hAnsi="Times New Roman" w:cs="Times New Roman"/>
                <w:iCs/>
                <w:sz w:val="19"/>
                <w:szCs w:val="19"/>
              </w:rPr>
              <w:t>млн. рублей или на 32,7</w:t>
            </w:r>
            <w:r>
              <w:rPr>
                <w:rFonts w:ascii="Times New Roman" w:hAnsi="Times New Roman" w:cs="Times New Roman"/>
                <w:iCs/>
                <w:sz w:val="19"/>
                <w:szCs w:val="19"/>
              </w:rPr>
              <w:t> </w:t>
            </w:r>
            <w:r w:rsidRPr="008C0569">
              <w:rPr>
                <w:rFonts w:ascii="Times New Roman" w:hAnsi="Times New Roman" w:cs="Times New Roman"/>
                <w:iCs/>
                <w:sz w:val="19"/>
                <w:szCs w:val="19"/>
              </w:rPr>
              <w:t>%, что обусловлено не поступлением (поступлением в меньшем объеме) дивидендов по акциям банков, приобретенных ГК «АСВ» за счет имущественного взноса Российской Федерации.</w:t>
            </w:r>
          </w:p>
        </w:tc>
      </w:tr>
      <w:tr w:rsidR="000B180A" w:rsidRPr="000B180A" w:rsidTr="00D50EE7">
        <w:tc>
          <w:tcPr>
            <w:tcW w:w="3056" w:type="dxa"/>
            <w:vAlign w:val="center"/>
          </w:tcPr>
          <w:p w:rsidR="00761B53" w:rsidRPr="00E17ED6" w:rsidRDefault="00F6153A" w:rsidP="006066BF">
            <w:pPr>
              <w:widowControl w:val="0"/>
              <w:overflowPunct w:val="0"/>
              <w:autoSpaceDE w:val="0"/>
              <w:autoSpaceDN w:val="0"/>
              <w:adjustRightInd w:val="0"/>
              <w:ind w:right="-137"/>
              <w:jc w:val="both"/>
              <w:textAlignment w:val="baseline"/>
              <w:rPr>
                <w:rFonts w:ascii="Times New Roman" w:hAnsi="Times New Roman" w:cs="Times New Roman"/>
                <w:b/>
                <w:iCs/>
                <w:sz w:val="19"/>
                <w:szCs w:val="19"/>
              </w:rPr>
            </w:pPr>
            <w:r w:rsidRPr="00E17ED6">
              <w:rPr>
                <w:rFonts w:ascii="Times New Roman" w:hAnsi="Times New Roman" w:cs="Times New Roman"/>
                <w:b/>
                <w:iCs/>
                <w:sz w:val="19"/>
                <w:szCs w:val="19"/>
              </w:rPr>
              <w:lastRenderedPageBreak/>
              <w:t>Безвозмездные поступления</w:t>
            </w:r>
          </w:p>
          <w:p w:rsidR="00F6153A" w:rsidRPr="00E17ED6" w:rsidRDefault="00F6153A" w:rsidP="006066BF">
            <w:pPr>
              <w:widowControl w:val="0"/>
              <w:overflowPunct w:val="0"/>
              <w:autoSpaceDE w:val="0"/>
              <w:autoSpaceDN w:val="0"/>
              <w:adjustRightInd w:val="0"/>
              <w:ind w:right="-137"/>
              <w:jc w:val="both"/>
              <w:textAlignment w:val="baseline"/>
              <w:rPr>
                <w:rFonts w:ascii="Times New Roman" w:hAnsi="Times New Roman" w:cs="Times New Roman"/>
                <w:spacing w:val="-4"/>
                <w:sz w:val="19"/>
                <w:szCs w:val="19"/>
              </w:rPr>
            </w:pPr>
            <w:r w:rsidRPr="00E17ED6">
              <w:rPr>
                <w:rFonts w:ascii="Times New Roman" w:hAnsi="Times New Roman" w:cs="Times New Roman"/>
                <w:iCs/>
                <w:sz w:val="19"/>
                <w:szCs w:val="19"/>
              </w:rPr>
              <w:t>(КБК 092 2 00 00000 00 0000 000)</w:t>
            </w:r>
          </w:p>
        </w:tc>
        <w:tc>
          <w:tcPr>
            <w:tcW w:w="6975" w:type="dxa"/>
          </w:tcPr>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proofErr w:type="gramStart"/>
            <w:r w:rsidRPr="00E17ED6">
              <w:rPr>
                <w:rFonts w:ascii="Times New Roman" w:hAnsi="Times New Roman" w:cs="Times New Roman"/>
                <w:iCs/>
                <w:sz w:val="19"/>
                <w:szCs w:val="19"/>
              </w:rPr>
              <w:t>Прогноз установлен в сумме 200 108,5 млн. рублей, в том числе по кодам 092 2 07 01020 01 0000 150 «Прочие безвозмездные поступления в федеральный бюджет» (200 000,0 млн. рублей), 092 2 18 01010 01 0000 150 «Доходы федерального бюджета от возврата бюджетными учреждениями остатков субсидий прошлых лет» (88,7 млн. рублей) и 092 2 18 35900 01 0000 150 «Доходы</w:t>
            </w:r>
            <w:proofErr w:type="gramEnd"/>
            <w:r w:rsidRPr="00E17ED6">
              <w:rPr>
                <w:rFonts w:ascii="Times New Roman" w:hAnsi="Times New Roman" w:cs="Times New Roman"/>
                <w:iCs/>
                <w:sz w:val="19"/>
                <w:szCs w:val="19"/>
              </w:rPr>
              <w:t xml:space="preserve"> федерального бюджета от возврата остатков единой субвенции из бюджетов субъектов Российской Федерации и бюджета г. Байконура» (19,9 млн. рублей).</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Поступления по указанному доходному источнику составили 209 584,7 млн. рублей, что на 9 476,1</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или на 4,7 % больше прогноза, учтенного в Федеральном законе № 385-ФЗ. Перевыполнение прогноза поступлений обусловлено следующим.</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1) Прогноз поступлений сформирован по КБК 092 2 07 01020 01 0000 150 «Прочие безвозмездные поступления в федеральный бюджет» в сумме 200 000,0</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В прогнозе учтено планируемое «разовое» перечисление части дохода, полученного Центральным банком Российской Федерации от продажи обыкновенных акций ПАО «Сбербанк России»</w:t>
            </w:r>
            <w:r w:rsidRPr="00E17ED6">
              <w:rPr>
                <w:rFonts w:ascii="Times New Roman" w:hAnsi="Times New Roman" w:cs="Times New Roman"/>
                <w:iCs/>
                <w:sz w:val="19"/>
                <w:szCs w:val="19"/>
                <w:vertAlign w:val="superscript"/>
              </w:rPr>
              <w:footnoteReference w:id="3"/>
            </w:r>
            <w:r w:rsidRPr="00E17ED6">
              <w:rPr>
                <w:rFonts w:ascii="Times New Roman" w:hAnsi="Times New Roman" w:cs="Times New Roman"/>
                <w:iCs/>
                <w:sz w:val="19"/>
                <w:szCs w:val="19"/>
              </w:rPr>
              <w:t xml:space="preserve">.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Поступления по указанному доходному источнику составили 204 353,6</w:t>
            </w:r>
            <w:r>
              <w:rPr>
                <w:rFonts w:ascii="Times New Roman" w:hAnsi="Times New Roman" w:cs="Times New Roman"/>
                <w:iCs/>
                <w:sz w:val="19"/>
                <w:szCs w:val="19"/>
              </w:rPr>
              <w:t> </w:t>
            </w:r>
            <w:r w:rsidRPr="00E17ED6">
              <w:rPr>
                <w:rFonts w:ascii="Times New Roman" w:hAnsi="Times New Roman" w:cs="Times New Roman"/>
                <w:iCs/>
                <w:sz w:val="19"/>
                <w:szCs w:val="19"/>
              </w:rPr>
              <w:t xml:space="preserve">млн. рублей. </w:t>
            </w:r>
            <w:proofErr w:type="gramStart"/>
            <w:r w:rsidRPr="00E17ED6">
              <w:rPr>
                <w:rFonts w:ascii="Times New Roman" w:hAnsi="Times New Roman" w:cs="Times New Roman"/>
                <w:iCs/>
                <w:sz w:val="19"/>
                <w:szCs w:val="19"/>
              </w:rPr>
              <w:t>Перевыполнение прогноза поступлений обусловлено перечислением денежных средств в сумме 4 353,6</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согласно распоряжению Правительства Российской Федерации от 7</w:t>
            </w:r>
            <w:r>
              <w:rPr>
                <w:rFonts w:ascii="Times New Roman" w:hAnsi="Times New Roman" w:cs="Times New Roman"/>
                <w:iCs/>
                <w:sz w:val="19"/>
                <w:szCs w:val="19"/>
              </w:rPr>
              <w:t> </w:t>
            </w:r>
            <w:r w:rsidRPr="00E17ED6">
              <w:rPr>
                <w:rFonts w:ascii="Times New Roman" w:hAnsi="Times New Roman" w:cs="Times New Roman"/>
                <w:iCs/>
                <w:sz w:val="19"/>
                <w:szCs w:val="19"/>
              </w:rPr>
              <w:t>августа 2021</w:t>
            </w:r>
            <w:r>
              <w:rPr>
                <w:rFonts w:ascii="Times New Roman" w:hAnsi="Times New Roman" w:cs="Times New Roman"/>
                <w:iCs/>
                <w:sz w:val="19"/>
                <w:szCs w:val="19"/>
              </w:rPr>
              <w:t> </w:t>
            </w:r>
            <w:r w:rsidRPr="00E17ED6">
              <w:rPr>
                <w:rFonts w:ascii="Times New Roman" w:hAnsi="Times New Roman" w:cs="Times New Roman"/>
                <w:iCs/>
                <w:sz w:val="19"/>
                <w:szCs w:val="19"/>
              </w:rPr>
              <w:t>г. №</w:t>
            </w:r>
            <w:r>
              <w:rPr>
                <w:rFonts w:ascii="Times New Roman" w:hAnsi="Times New Roman" w:cs="Times New Roman"/>
                <w:iCs/>
                <w:sz w:val="19"/>
                <w:szCs w:val="19"/>
              </w:rPr>
              <w:t> </w:t>
            </w:r>
            <w:r w:rsidRPr="00E17ED6">
              <w:rPr>
                <w:rFonts w:ascii="Times New Roman" w:hAnsi="Times New Roman" w:cs="Times New Roman"/>
                <w:iCs/>
                <w:sz w:val="19"/>
                <w:szCs w:val="19"/>
              </w:rPr>
              <w:t>2179-р передаваемых ГК «АСВ» средств имущественного взноса Банка России, внесенного Банком России в имущество ГК «АСВ» на основании части девятой статьи 8 Федерального закона от 10 июля 2002 г. №</w:t>
            </w:r>
            <w:r>
              <w:rPr>
                <w:rFonts w:ascii="Times New Roman" w:hAnsi="Times New Roman" w:cs="Times New Roman"/>
                <w:iCs/>
                <w:sz w:val="19"/>
                <w:szCs w:val="19"/>
              </w:rPr>
              <w:t> </w:t>
            </w:r>
            <w:r w:rsidRPr="00E17ED6">
              <w:rPr>
                <w:rFonts w:ascii="Times New Roman" w:hAnsi="Times New Roman" w:cs="Times New Roman"/>
                <w:iCs/>
                <w:sz w:val="19"/>
                <w:szCs w:val="19"/>
              </w:rPr>
              <w:t>86-ФЗ «О Центральном банке Российской Федерации (Банке России)».</w:t>
            </w:r>
            <w:proofErr w:type="gramEnd"/>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2) Прогноз поступлений по КБК 092 2 18 01010 01 0000 150 «Доходы федерального бюджета от возврата бюджетными учреждениями остатков субсидий прошлых лет» сформирован в сумме 88,7 млн. рублей. В соответствии с Методикой прогнозирования поступлений доходов объем поступлений определяется методом усреднения полученных доходов на основании имеющихся данных об изменении поступлений за предшествующие три года.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Поступления по указанному доходному источнику составили 84,0</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что на 4,7</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или на 5,3</w:t>
            </w:r>
            <w:r>
              <w:rPr>
                <w:rFonts w:ascii="Times New Roman" w:hAnsi="Times New Roman" w:cs="Times New Roman"/>
                <w:iCs/>
                <w:sz w:val="19"/>
                <w:szCs w:val="19"/>
              </w:rPr>
              <w:t> </w:t>
            </w:r>
            <w:r w:rsidRPr="00E17ED6">
              <w:rPr>
                <w:rFonts w:ascii="Times New Roman" w:hAnsi="Times New Roman" w:cs="Times New Roman"/>
                <w:iCs/>
                <w:sz w:val="19"/>
                <w:szCs w:val="19"/>
              </w:rPr>
              <w:t>% меньше прогнозного показателя, учтенного в Федеральном законе № 385-ФЗ. В доход федерального бюджета перечислены остатки целевых сре</w:t>
            </w:r>
            <w:proofErr w:type="gramStart"/>
            <w:r w:rsidRPr="00E17ED6">
              <w:rPr>
                <w:rFonts w:ascii="Times New Roman" w:hAnsi="Times New Roman" w:cs="Times New Roman"/>
                <w:iCs/>
                <w:sz w:val="19"/>
                <w:szCs w:val="19"/>
              </w:rPr>
              <w:t>дств пр</w:t>
            </w:r>
            <w:proofErr w:type="gramEnd"/>
            <w:r w:rsidRPr="00E17ED6">
              <w:rPr>
                <w:rFonts w:ascii="Times New Roman" w:hAnsi="Times New Roman" w:cs="Times New Roman"/>
                <w:iCs/>
                <w:sz w:val="19"/>
                <w:szCs w:val="19"/>
              </w:rPr>
              <w:t>ошлых лет от ФГБУ «МФК Минфина России» в сумме 80,2</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и от НИФИ Минфина России в сумме 3,7</w:t>
            </w:r>
            <w:r>
              <w:rPr>
                <w:rFonts w:ascii="Times New Roman" w:hAnsi="Times New Roman" w:cs="Times New Roman"/>
                <w:iCs/>
                <w:sz w:val="19"/>
                <w:szCs w:val="19"/>
              </w:rPr>
              <w:t> </w:t>
            </w:r>
            <w:r w:rsidRPr="00E17ED6">
              <w:rPr>
                <w:rFonts w:ascii="Times New Roman" w:hAnsi="Times New Roman" w:cs="Times New Roman"/>
                <w:iCs/>
                <w:sz w:val="19"/>
                <w:szCs w:val="19"/>
              </w:rPr>
              <w:t>млн. рублей.</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3) Прогноз поступлений по КБК 092 2 18 01030 01 0000 150 «Доходы федерального бюджета от возврата иными организациями остатков субсидий прошлых лет» не формировался.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Фактически в федеральный бюджет возвращены остатки субсидий прошлых лет в сумме 26,6</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за счет поступления возврата:</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ранее использованных средств (дебиторская задолженность прошлых лет), источником образования которых являются предоставленные из федерального бюджета субсидии некоммерческой организации Фонд развития Центра разработки и коммерциализации новых технологий (Фонд «</w:t>
            </w:r>
            <w:proofErr w:type="spellStart"/>
            <w:r w:rsidRPr="00E17ED6">
              <w:rPr>
                <w:rFonts w:ascii="Times New Roman" w:hAnsi="Times New Roman" w:cs="Times New Roman"/>
                <w:iCs/>
                <w:sz w:val="19"/>
                <w:szCs w:val="19"/>
              </w:rPr>
              <w:t>Сколково</w:t>
            </w:r>
            <w:proofErr w:type="spellEnd"/>
            <w:r w:rsidRPr="00E17ED6">
              <w:rPr>
                <w:rFonts w:ascii="Times New Roman" w:hAnsi="Times New Roman" w:cs="Times New Roman"/>
                <w:iCs/>
                <w:sz w:val="19"/>
                <w:szCs w:val="19"/>
              </w:rPr>
              <w:t>»). Указанные возвраты возникают в случае невыполнения получателями поддержки установленных условий их предоставления (24,5</w:t>
            </w:r>
            <w:r>
              <w:rPr>
                <w:rFonts w:ascii="Times New Roman" w:hAnsi="Times New Roman" w:cs="Times New Roman"/>
                <w:iCs/>
                <w:sz w:val="19"/>
                <w:szCs w:val="19"/>
              </w:rPr>
              <w:t> </w:t>
            </w:r>
            <w:r w:rsidRPr="00E17ED6">
              <w:rPr>
                <w:rFonts w:ascii="Times New Roman" w:hAnsi="Times New Roman" w:cs="Times New Roman"/>
                <w:iCs/>
                <w:sz w:val="19"/>
                <w:szCs w:val="19"/>
              </w:rPr>
              <w:t xml:space="preserve">млн. рублей);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остатков Ассоциацией Российское антидопинговое агентство «РУСАДА» (далее – Агентство), сложившихся за счет разницы между стоимостью проживания в гостинице сотрудника Агентства и лимитом, установленным в Агентстве в соответствии с Положением о командировках, выявленная в ходе проходящей проверки Федеральным казначейством; стоимости ж/</w:t>
            </w:r>
            <w:proofErr w:type="gramStart"/>
            <w:r w:rsidRPr="00E17ED6">
              <w:rPr>
                <w:rFonts w:ascii="Times New Roman" w:hAnsi="Times New Roman" w:cs="Times New Roman"/>
                <w:iCs/>
                <w:sz w:val="19"/>
                <w:szCs w:val="19"/>
              </w:rPr>
              <w:t>д-</w:t>
            </w:r>
            <w:proofErr w:type="gramEnd"/>
            <w:r w:rsidRPr="00E17ED6">
              <w:rPr>
                <w:rFonts w:ascii="Times New Roman" w:hAnsi="Times New Roman" w:cs="Times New Roman"/>
                <w:iCs/>
                <w:sz w:val="19"/>
                <w:szCs w:val="19"/>
              </w:rPr>
              <w:t xml:space="preserve">, авиабилетов, в том числе сервисных сборов, подлежащей возврату в связи с отменой командировок; возврата суммы за лабораторные анализы, проведенные в рамках </w:t>
            </w:r>
            <w:r w:rsidRPr="00E17ED6">
              <w:rPr>
                <w:rFonts w:ascii="Times New Roman" w:hAnsi="Times New Roman" w:cs="Times New Roman"/>
                <w:iCs/>
                <w:sz w:val="19"/>
                <w:szCs w:val="19"/>
              </w:rPr>
              <w:lastRenderedPageBreak/>
              <w:t>приносящей доход деятельности, ошибочно оплаченной за счет средств субсидии (1,4 млн. рублей).</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4) Прогноз поступлений доходов федерального бюджета от возврата остатков единой субвенции из бюджетов субъектов Российской Федерации и бюджета г. Байконура (092 2 18 35900 01 0000 150) сформирован в сумме 19,9</w:t>
            </w:r>
            <w:r>
              <w:rPr>
                <w:rFonts w:ascii="Times New Roman" w:hAnsi="Times New Roman" w:cs="Times New Roman"/>
                <w:iCs/>
                <w:sz w:val="19"/>
                <w:szCs w:val="19"/>
              </w:rPr>
              <w:t> </w:t>
            </w:r>
            <w:r w:rsidRPr="00E17ED6">
              <w:rPr>
                <w:rFonts w:ascii="Times New Roman" w:hAnsi="Times New Roman" w:cs="Times New Roman"/>
                <w:iCs/>
                <w:sz w:val="19"/>
                <w:szCs w:val="19"/>
              </w:rPr>
              <w:t xml:space="preserve">млн. рублей.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Поступления по указанному доходному источнику составили 18,9</w:t>
            </w:r>
            <w:r>
              <w:rPr>
                <w:rFonts w:ascii="Times New Roman" w:hAnsi="Times New Roman" w:cs="Times New Roman"/>
                <w:iCs/>
                <w:sz w:val="19"/>
                <w:szCs w:val="19"/>
              </w:rPr>
              <w:t> </w:t>
            </w:r>
            <w:r w:rsidRPr="00E17ED6">
              <w:rPr>
                <w:rFonts w:ascii="Times New Roman" w:hAnsi="Times New Roman" w:cs="Times New Roman"/>
                <w:iCs/>
                <w:sz w:val="19"/>
                <w:szCs w:val="19"/>
              </w:rPr>
              <w:t>млн. рублей, или на 4,9 % меньше прогнозного показателя, учтенного в Федеральном законе № 385-ФЗ.</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Отклонение (уменьшение поступления доходов) обусловлено возвратом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 Следует отметить, что сумма поступивших доходов зависит от фактического использования выделенных средств бюджетам субъектов Российской Федерации и от возврата в доход федерального бюджета неиспользованных остатков межбюджетных трансфертов прошлых лет, имеющих целевое назначение.</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5) Прогноз поступлений доходов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(092 2 18 45106 01 0000 150) не формировался.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proofErr w:type="gramStart"/>
            <w:r w:rsidRPr="00E17ED6">
              <w:rPr>
                <w:rFonts w:ascii="Times New Roman" w:hAnsi="Times New Roman" w:cs="Times New Roman"/>
                <w:iCs/>
                <w:sz w:val="19"/>
                <w:szCs w:val="19"/>
              </w:rPr>
              <w:t>Поступления по указанному доходному источнику составили 18,0</w:t>
            </w:r>
            <w:r>
              <w:rPr>
                <w:rFonts w:ascii="Times New Roman" w:hAnsi="Times New Roman" w:cs="Times New Roman"/>
                <w:iCs/>
                <w:sz w:val="19"/>
                <w:szCs w:val="19"/>
              </w:rPr>
              <w:t> </w:t>
            </w:r>
            <w:r w:rsidRPr="00E17ED6">
              <w:rPr>
                <w:rFonts w:ascii="Times New Roman" w:hAnsi="Times New Roman" w:cs="Times New Roman"/>
                <w:iCs/>
                <w:sz w:val="19"/>
                <w:szCs w:val="19"/>
              </w:rPr>
              <w:t>тыс. рублей от Министерства строительства Сахалинской области (возврат восстановленных остатков прошлых лет (2008 год) в соответствии с Распоряжением Правительства Российской Федерации от 28 сентября 2007</w:t>
            </w:r>
            <w:r>
              <w:rPr>
                <w:rFonts w:ascii="Times New Roman" w:hAnsi="Times New Roman" w:cs="Times New Roman"/>
                <w:iCs/>
                <w:sz w:val="19"/>
                <w:szCs w:val="19"/>
              </w:rPr>
              <w:t> </w:t>
            </w:r>
            <w:r w:rsidRPr="00E17ED6">
              <w:rPr>
                <w:rFonts w:ascii="Times New Roman" w:hAnsi="Times New Roman" w:cs="Times New Roman"/>
                <w:iCs/>
                <w:sz w:val="19"/>
                <w:szCs w:val="19"/>
              </w:rPr>
              <w:t>г. №</w:t>
            </w:r>
            <w:r>
              <w:rPr>
                <w:rFonts w:ascii="Times New Roman" w:hAnsi="Times New Roman" w:cs="Times New Roman"/>
                <w:iCs/>
                <w:sz w:val="19"/>
                <w:szCs w:val="19"/>
              </w:rPr>
              <w:t> </w:t>
            </w:r>
            <w:r w:rsidRPr="00E17ED6">
              <w:rPr>
                <w:rFonts w:ascii="Times New Roman" w:hAnsi="Times New Roman" w:cs="Times New Roman"/>
                <w:iCs/>
                <w:sz w:val="19"/>
                <w:szCs w:val="19"/>
              </w:rPr>
              <w:t xml:space="preserve">1297-р. </w:t>
            </w:r>
            <w:proofErr w:type="gramEnd"/>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6) Прогноз поступлений доходов федерального бюджета от возврата остатков иных межбюджетных трансфертов за достижение </w:t>
            </w:r>
            <w:proofErr w:type="gramStart"/>
            <w:r w:rsidRPr="00E17ED6">
              <w:rPr>
                <w:rFonts w:ascii="Times New Roman" w:hAnsi="Times New Roman" w:cs="Times New Roman"/>
                <w:iCs/>
                <w:sz w:val="19"/>
                <w:szCs w:val="19"/>
              </w:rPr>
              <w:t>показателей деятельности органов исполнительной власти субъектов Российской Федерации</w:t>
            </w:r>
            <w:proofErr w:type="gramEnd"/>
            <w:r w:rsidRPr="00E17ED6">
              <w:rPr>
                <w:rFonts w:ascii="Times New Roman" w:hAnsi="Times New Roman" w:cs="Times New Roman"/>
                <w:iCs/>
                <w:sz w:val="19"/>
                <w:szCs w:val="19"/>
              </w:rPr>
              <w:t xml:space="preserve"> из бюджетов субъектов Российской Федерации (092 2 18 45550 01 0000 150) не формировался.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Поступления по указанному доходному источнику составили 7,4</w:t>
            </w:r>
            <w:r>
              <w:rPr>
                <w:rFonts w:ascii="Times New Roman" w:hAnsi="Times New Roman" w:cs="Times New Roman"/>
                <w:iCs/>
                <w:sz w:val="19"/>
                <w:szCs w:val="19"/>
              </w:rPr>
              <w:t> </w:t>
            </w:r>
            <w:r w:rsidRPr="00E17ED6">
              <w:rPr>
                <w:rFonts w:ascii="Times New Roman" w:hAnsi="Times New Roman" w:cs="Times New Roman"/>
                <w:iCs/>
                <w:sz w:val="19"/>
                <w:szCs w:val="19"/>
              </w:rPr>
              <w:t xml:space="preserve">млн. рублей, за счет возврата остатков иных межбюджетных трансфертов за достижение </w:t>
            </w:r>
            <w:proofErr w:type="gramStart"/>
            <w:r w:rsidRPr="00E17ED6">
              <w:rPr>
                <w:rFonts w:ascii="Times New Roman" w:hAnsi="Times New Roman" w:cs="Times New Roman"/>
                <w:iCs/>
                <w:sz w:val="19"/>
                <w:szCs w:val="19"/>
              </w:rPr>
              <w:t>показателей деятельности органов исполнительной власти субъектов Российской Федерации</w:t>
            </w:r>
            <w:proofErr w:type="gramEnd"/>
            <w:r w:rsidRPr="00E17ED6">
              <w:rPr>
                <w:rFonts w:ascii="Times New Roman" w:hAnsi="Times New Roman" w:cs="Times New Roman"/>
                <w:iCs/>
                <w:sz w:val="19"/>
                <w:szCs w:val="19"/>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proofErr w:type="gramStart"/>
            <w:r w:rsidRPr="00E17ED6">
              <w:rPr>
                <w:rFonts w:ascii="Times New Roman" w:hAnsi="Times New Roman" w:cs="Times New Roman"/>
                <w:iCs/>
                <w:sz w:val="19"/>
                <w:szCs w:val="19"/>
              </w:rPr>
              <w:t xml:space="preserve">7) Прогноз поступлений доходов федерального бюджета от возврата остатков межбюджетных трансфертов на </w:t>
            </w:r>
            <w:proofErr w:type="spellStart"/>
            <w:r w:rsidRPr="00E17ED6">
              <w:rPr>
                <w:rFonts w:ascii="Times New Roman" w:hAnsi="Times New Roman" w:cs="Times New Roman"/>
                <w:iCs/>
                <w:sz w:val="19"/>
                <w:szCs w:val="19"/>
              </w:rPr>
              <w:t>софинансирование</w:t>
            </w:r>
            <w:proofErr w:type="spellEnd"/>
            <w:r w:rsidRPr="00E17ED6">
              <w:rPr>
                <w:rFonts w:ascii="Times New Roman" w:hAnsi="Times New Roman" w:cs="Times New Roman"/>
                <w:iCs/>
                <w:sz w:val="19"/>
                <w:szCs w:val="19"/>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(092 2 18 55209 01 0000 150) не формировался. </w:t>
            </w:r>
            <w:proofErr w:type="gramEnd"/>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Фактически в бюджет поступил возврат остатков межбюджетных трансфертов прошлых лет от Пенсионного фонда Российской Федерации (распоряжение Правления Пенсионного фонда Российской Федерации от 8 сентября 2021</w:t>
            </w:r>
            <w:r>
              <w:rPr>
                <w:rFonts w:ascii="Times New Roman" w:hAnsi="Times New Roman" w:cs="Times New Roman"/>
                <w:iCs/>
                <w:sz w:val="19"/>
                <w:szCs w:val="19"/>
              </w:rPr>
              <w:t> </w:t>
            </w:r>
            <w:r w:rsidRPr="00E17ED6">
              <w:rPr>
                <w:rFonts w:ascii="Times New Roman" w:hAnsi="Times New Roman" w:cs="Times New Roman"/>
                <w:iCs/>
                <w:sz w:val="19"/>
                <w:szCs w:val="19"/>
              </w:rPr>
              <w:t>г. №</w:t>
            </w:r>
            <w:r>
              <w:rPr>
                <w:rFonts w:ascii="Times New Roman" w:hAnsi="Times New Roman" w:cs="Times New Roman"/>
                <w:iCs/>
                <w:sz w:val="19"/>
                <w:szCs w:val="19"/>
              </w:rPr>
              <w:t> </w:t>
            </w:r>
            <w:r w:rsidRPr="00E17ED6">
              <w:rPr>
                <w:rFonts w:ascii="Times New Roman" w:hAnsi="Times New Roman" w:cs="Times New Roman"/>
                <w:iCs/>
                <w:sz w:val="19"/>
                <w:szCs w:val="19"/>
              </w:rPr>
              <w:t>522р) в размере 0,95</w:t>
            </w:r>
            <w:r>
              <w:rPr>
                <w:rFonts w:ascii="Times New Roman" w:hAnsi="Times New Roman" w:cs="Times New Roman"/>
                <w:iCs/>
                <w:sz w:val="19"/>
                <w:szCs w:val="19"/>
              </w:rPr>
              <w:t> </w:t>
            </w:r>
            <w:r w:rsidRPr="00E17ED6">
              <w:rPr>
                <w:rFonts w:ascii="Times New Roman" w:hAnsi="Times New Roman" w:cs="Times New Roman"/>
                <w:iCs/>
                <w:sz w:val="19"/>
                <w:szCs w:val="19"/>
              </w:rPr>
              <w:t>млн. рублей.</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8) Прогноз поступлений доходов федерального бюджета от возврата остатков межбюджетных трансфертов на финансовое обеспечение отдельных </w:t>
            </w:r>
            <w:proofErr w:type="spellStart"/>
            <w:r w:rsidRPr="00E17ED6">
              <w:rPr>
                <w:rFonts w:ascii="Times New Roman" w:hAnsi="Times New Roman" w:cs="Times New Roman"/>
                <w:iCs/>
                <w:sz w:val="19"/>
                <w:szCs w:val="19"/>
              </w:rPr>
              <w:t>нестраховых</w:t>
            </w:r>
            <w:proofErr w:type="spellEnd"/>
            <w:r w:rsidRPr="00E17ED6">
              <w:rPr>
                <w:rFonts w:ascii="Times New Roman" w:hAnsi="Times New Roman" w:cs="Times New Roman"/>
                <w:iCs/>
                <w:sz w:val="19"/>
                <w:szCs w:val="19"/>
              </w:rPr>
              <w:t xml:space="preserve"> расходов из бюджета Федерального фонда обязательного медицинского страхования (092 2 18 55226 01 0000 150) не формировался. </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proofErr w:type="gramStart"/>
            <w:r w:rsidRPr="00E17ED6">
              <w:rPr>
                <w:rFonts w:ascii="Times New Roman" w:hAnsi="Times New Roman" w:cs="Times New Roman"/>
                <w:iCs/>
                <w:sz w:val="19"/>
                <w:szCs w:val="19"/>
              </w:rPr>
              <w:t>Фактически в бюджет поступил возврат неиспользованного по состоянию на 1</w:t>
            </w:r>
            <w:r>
              <w:rPr>
                <w:rFonts w:ascii="Times New Roman" w:hAnsi="Times New Roman" w:cs="Times New Roman"/>
                <w:iCs/>
                <w:sz w:val="19"/>
                <w:szCs w:val="19"/>
              </w:rPr>
              <w:t> </w:t>
            </w:r>
            <w:r w:rsidRPr="00E17ED6">
              <w:rPr>
                <w:rFonts w:ascii="Times New Roman" w:hAnsi="Times New Roman" w:cs="Times New Roman"/>
                <w:iCs/>
                <w:sz w:val="19"/>
                <w:szCs w:val="19"/>
              </w:rPr>
              <w:t>января 2021 года остатка межбюджетного трансферта, предоставленного в 2020</w:t>
            </w:r>
            <w:r>
              <w:rPr>
                <w:rFonts w:ascii="Times New Roman" w:hAnsi="Times New Roman" w:cs="Times New Roman"/>
                <w:iCs/>
                <w:sz w:val="19"/>
                <w:szCs w:val="19"/>
              </w:rPr>
              <w:t> </w:t>
            </w:r>
            <w:r w:rsidRPr="00E17ED6">
              <w:rPr>
                <w:rFonts w:ascii="Times New Roman" w:hAnsi="Times New Roman" w:cs="Times New Roman"/>
                <w:iCs/>
                <w:sz w:val="19"/>
                <w:szCs w:val="19"/>
              </w:rPr>
              <w:t xml:space="preserve">году бюджету Федерального Фонда обязательного медицинского страхования из федерального бюджета на финансовое обеспечение отдельных </w:t>
            </w:r>
            <w:proofErr w:type="spellStart"/>
            <w:r w:rsidRPr="00E17ED6">
              <w:rPr>
                <w:rFonts w:ascii="Times New Roman" w:hAnsi="Times New Roman" w:cs="Times New Roman"/>
                <w:iCs/>
                <w:sz w:val="19"/>
                <w:szCs w:val="19"/>
              </w:rPr>
              <w:t>нестраховых</w:t>
            </w:r>
            <w:proofErr w:type="spellEnd"/>
            <w:r w:rsidRPr="00E17ED6">
              <w:rPr>
                <w:rFonts w:ascii="Times New Roman" w:hAnsi="Times New Roman" w:cs="Times New Roman"/>
                <w:iCs/>
                <w:sz w:val="19"/>
                <w:szCs w:val="19"/>
              </w:rPr>
              <w:t xml:space="preserve"> расходов в связи с наличием невостребованных средств Федеральным фондом социального страхования Российской Федерации на оплату родовых сертификатов в размере 3 028,6 млн. рублей</w:t>
            </w:r>
            <w:proofErr w:type="gramEnd"/>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9) Прогноз поступлений доходов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(092 2 18 71010 01 0000 150) не формировался.</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Фактически в бюджет поступил возврат остатков межбюджетных трансфертов на осуществление специальных выплат в соответствии с распоряжением Правления Пенсионного фонда Российской Федерации от </w:t>
            </w:r>
            <w:r w:rsidRPr="00E17ED6">
              <w:rPr>
                <w:rFonts w:ascii="Times New Roman" w:hAnsi="Times New Roman" w:cs="Times New Roman"/>
                <w:iCs/>
                <w:sz w:val="19"/>
                <w:szCs w:val="19"/>
              </w:rPr>
              <w:lastRenderedPageBreak/>
              <w:t>30</w:t>
            </w:r>
            <w:r>
              <w:rPr>
                <w:rFonts w:ascii="Times New Roman" w:hAnsi="Times New Roman" w:cs="Times New Roman"/>
                <w:iCs/>
                <w:sz w:val="19"/>
                <w:szCs w:val="19"/>
              </w:rPr>
              <w:t> </w:t>
            </w:r>
            <w:r w:rsidRPr="00E17ED6">
              <w:rPr>
                <w:rFonts w:ascii="Times New Roman" w:hAnsi="Times New Roman" w:cs="Times New Roman"/>
                <w:iCs/>
                <w:sz w:val="19"/>
                <w:szCs w:val="19"/>
              </w:rPr>
              <w:t>декабря 2020 г. № 852-р и письмом Минфина России от 15</w:t>
            </w:r>
            <w:r>
              <w:rPr>
                <w:rFonts w:ascii="Times New Roman" w:hAnsi="Times New Roman" w:cs="Times New Roman"/>
                <w:iCs/>
                <w:sz w:val="19"/>
                <w:szCs w:val="19"/>
              </w:rPr>
              <w:t> </w:t>
            </w:r>
            <w:r w:rsidRPr="00E17ED6">
              <w:rPr>
                <w:rFonts w:ascii="Times New Roman" w:hAnsi="Times New Roman" w:cs="Times New Roman"/>
                <w:iCs/>
                <w:sz w:val="19"/>
                <w:szCs w:val="19"/>
              </w:rPr>
              <w:t>января 2021</w:t>
            </w:r>
            <w:r>
              <w:rPr>
                <w:rFonts w:ascii="Times New Roman" w:hAnsi="Times New Roman" w:cs="Times New Roman"/>
                <w:iCs/>
                <w:sz w:val="19"/>
                <w:szCs w:val="19"/>
              </w:rPr>
              <w:t> </w:t>
            </w:r>
            <w:r w:rsidRPr="00E17ED6">
              <w:rPr>
                <w:rFonts w:ascii="Times New Roman" w:hAnsi="Times New Roman" w:cs="Times New Roman"/>
                <w:iCs/>
                <w:sz w:val="19"/>
                <w:szCs w:val="19"/>
              </w:rPr>
              <w:t>г. №</w:t>
            </w:r>
            <w:r>
              <w:rPr>
                <w:rFonts w:ascii="Times New Roman" w:hAnsi="Times New Roman" w:cs="Times New Roman"/>
                <w:iCs/>
                <w:sz w:val="19"/>
                <w:szCs w:val="19"/>
              </w:rPr>
              <w:t> </w:t>
            </w:r>
            <w:r w:rsidRPr="00E17ED6">
              <w:rPr>
                <w:rFonts w:ascii="Times New Roman" w:hAnsi="Times New Roman" w:cs="Times New Roman"/>
                <w:iCs/>
                <w:sz w:val="19"/>
                <w:szCs w:val="19"/>
              </w:rPr>
              <w:t>13-05-07/1452 в размере 29,5</w:t>
            </w:r>
            <w:r>
              <w:rPr>
                <w:rFonts w:ascii="Times New Roman" w:hAnsi="Times New Roman" w:cs="Times New Roman"/>
                <w:iCs/>
                <w:sz w:val="19"/>
                <w:szCs w:val="19"/>
              </w:rPr>
              <w:t> </w:t>
            </w:r>
            <w:r w:rsidRPr="00E17ED6">
              <w:rPr>
                <w:rFonts w:ascii="Times New Roman" w:hAnsi="Times New Roman" w:cs="Times New Roman"/>
                <w:iCs/>
                <w:sz w:val="19"/>
                <w:szCs w:val="19"/>
              </w:rPr>
              <w:t>млн. рублей.</w:t>
            </w:r>
          </w:p>
          <w:p w:rsidR="00E17ED6"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10) Прогноз поступлений доходов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(092 2 18 90000 01 0000 150) не формировался.</w:t>
            </w:r>
          </w:p>
          <w:p w:rsidR="00761B53" w:rsidRPr="00E17ED6" w:rsidRDefault="00E17ED6" w:rsidP="00E17ED6">
            <w:pPr>
              <w:autoSpaceDE w:val="0"/>
              <w:autoSpaceDN w:val="0"/>
              <w:adjustRightInd w:val="0"/>
              <w:ind w:firstLine="346"/>
              <w:jc w:val="both"/>
              <w:rPr>
                <w:rFonts w:ascii="Times New Roman" w:hAnsi="Times New Roman" w:cs="Times New Roman"/>
                <w:iCs/>
                <w:sz w:val="19"/>
                <w:szCs w:val="19"/>
              </w:rPr>
            </w:pPr>
            <w:r w:rsidRPr="00E17ED6">
              <w:rPr>
                <w:rFonts w:ascii="Times New Roman" w:hAnsi="Times New Roman" w:cs="Times New Roman"/>
                <w:iCs/>
                <w:sz w:val="19"/>
                <w:szCs w:val="19"/>
              </w:rPr>
              <w:t xml:space="preserve">Фактически в бюджет поступили возвраты неиспользованных дотаций на поддержку мер по обеспечению сбалансированности, предоставленных бюджетам субъектов Российской Федерации на финансовое обеспечение мероприятий по борьбе с COVID 19, неиспользованных дотаций (грантов), предоставленных субъектам Российской Федерации за достижение </w:t>
            </w:r>
            <w:proofErr w:type="gramStart"/>
            <w:r w:rsidRPr="00E17ED6">
              <w:rPr>
                <w:rFonts w:ascii="Times New Roman" w:hAnsi="Times New Roman" w:cs="Times New Roman"/>
                <w:iCs/>
                <w:sz w:val="19"/>
                <w:szCs w:val="19"/>
              </w:rPr>
              <w:t>показателей деятельности органов исполнительной власти субъектов Российской Федерации</w:t>
            </w:r>
            <w:proofErr w:type="gramEnd"/>
            <w:r w:rsidRPr="00E17ED6">
              <w:rPr>
                <w:rFonts w:ascii="Times New Roman" w:hAnsi="Times New Roman" w:cs="Times New Roman"/>
                <w:iCs/>
                <w:sz w:val="19"/>
                <w:szCs w:val="19"/>
              </w:rPr>
              <w:t xml:space="preserve"> в размере 2 035,0 млн. рублей.</w:t>
            </w:r>
          </w:p>
        </w:tc>
      </w:tr>
    </w:tbl>
    <w:p w:rsidR="007B5EDE" w:rsidRPr="00360078" w:rsidRDefault="007B5EDE" w:rsidP="007B5EDE">
      <w:pPr>
        <w:spacing w:after="0" w:line="240" w:lineRule="auto"/>
        <w:jc w:val="right"/>
        <w:rPr>
          <w:rFonts w:ascii="Times New Roman" w:hAnsi="Times New Roman" w:cs="Times New Roman"/>
          <w:sz w:val="14"/>
          <w:szCs w:val="14"/>
        </w:rPr>
      </w:pPr>
    </w:p>
    <w:p w:rsidR="003B0745" w:rsidRPr="000B180A" w:rsidRDefault="003B0745" w:rsidP="00D51F18">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r w:rsidRPr="000B180A">
        <w:rPr>
          <w:rFonts w:ascii="Times New Roman" w:eastAsia="Times New Roman" w:hAnsi="Times New Roman" w:cs="Times New Roman"/>
          <w:b/>
          <w:sz w:val="24"/>
          <w:szCs w:val="24"/>
        </w:rPr>
        <w:t>3. </w:t>
      </w:r>
      <w:proofErr w:type="gramStart"/>
      <w:r w:rsidRPr="000B180A">
        <w:rPr>
          <w:rFonts w:ascii="Times New Roman" w:eastAsia="Times New Roman" w:hAnsi="Times New Roman" w:cs="Times New Roman"/>
          <w:b/>
          <w:sz w:val="24"/>
          <w:szCs w:val="24"/>
        </w:rPr>
        <w:t>Причины</w:t>
      </w:r>
      <w:proofErr w:type="gramEnd"/>
      <w:r w:rsidRPr="000B180A">
        <w:rPr>
          <w:rFonts w:ascii="Times New Roman" w:eastAsia="Times New Roman" w:hAnsi="Times New Roman" w:cs="Times New Roman"/>
          <w:b/>
          <w:sz w:val="24"/>
          <w:szCs w:val="24"/>
        </w:rPr>
        <w:t xml:space="preserve"> по которым не сформирован прогноз поступлений по 5 источникам.</w:t>
      </w:r>
    </w:p>
    <w:p w:rsidR="000B180A" w:rsidRPr="000B180A" w:rsidRDefault="000B180A" w:rsidP="000B180A">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r w:rsidRPr="000B180A">
        <w:rPr>
          <w:rFonts w:ascii="Times New Roman" w:eastAsia="Times New Roman" w:hAnsi="Times New Roman" w:cs="Times New Roman"/>
          <w:sz w:val="24"/>
          <w:szCs w:val="24"/>
        </w:rPr>
        <w:t>1 11 06000 01 0000 120 «Доходы от перечисления части прибыли Центрального банка Российской Федерации» прогноз поступлений не формировался, в связи с тем, что Банк России не планировал получение прибыли по результатам деятельности в 2020 – 2022 годах (по информации Банка России);</w:t>
      </w:r>
    </w:p>
    <w:p w:rsidR="000B180A" w:rsidRPr="000B180A" w:rsidRDefault="000B180A" w:rsidP="000B180A">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iCs/>
          <w:sz w:val="24"/>
          <w:szCs w:val="24"/>
        </w:rPr>
      </w:pPr>
      <w:proofErr w:type="gramStart"/>
      <w:r w:rsidRPr="000B180A">
        <w:rPr>
          <w:rFonts w:ascii="Times New Roman" w:eastAsia="Times New Roman" w:hAnsi="Times New Roman" w:cs="Times New Roman"/>
          <w:sz w:val="24"/>
          <w:szCs w:val="24"/>
        </w:rPr>
        <w:t>1 11 07011 01 0000 120 «</w:t>
      </w:r>
      <w:r w:rsidRPr="000B180A">
        <w:rPr>
          <w:rFonts w:ascii="Times New Roman" w:eastAsia="Times New Roman" w:hAnsi="Times New Roman" w:cs="Times New Roman"/>
          <w:iCs/>
          <w:sz w:val="24"/>
          <w:szCs w:val="24"/>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r w:rsidRPr="000B180A">
        <w:rPr>
          <w:rFonts w:ascii="Times New Roman" w:eastAsia="Times New Roman" w:hAnsi="Times New Roman" w:cs="Times New Roman"/>
          <w:sz w:val="24"/>
          <w:szCs w:val="24"/>
        </w:rPr>
        <w:t>»,</w:t>
      </w:r>
      <w:r w:rsidRPr="000B180A">
        <w:rPr>
          <w:rFonts w:ascii="Times New Roman" w:eastAsia="Times New Roman" w:hAnsi="Times New Roman" w:cs="Times New Roman"/>
          <w:iCs/>
          <w:sz w:val="24"/>
          <w:szCs w:val="24"/>
        </w:rPr>
        <w:t xml:space="preserve"> что связано с преобразованием ФГУП «В/О «Алмазювелирэкспорт» в акционерное общество «Внешнеэкономическое объединение «Алмазювелирэкспорт» (далее – АО «В/О «Алмазювелирэкспорт») (в соответствии с Указом Президента Российской Федерации от 21 августа 2017 г. № 389 «Об акционерном обществе «Внешнеэкономическое объединение</w:t>
      </w:r>
      <w:proofErr w:type="gramEnd"/>
      <w:r w:rsidRPr="000B180A">
        <w:rPr>
          <w:rFonts w:ascii="Times New Roman" w:eastAsia="Times New Roman" w:hAnsi="Times New Roman" w:cs="Times New Roman"/>
          <w:iCs/>
          <w:sz w:val="24"/>
          <w:szCs w:val="24"/>
        </w:rPr>
        <w:t xml:space="preserve"> «</w:t>
      </w:r>
      <w:proofErr w:type="gramStart"/>
      <w:r w:rsidRPr="000B180A">
        <w:rPr>
          <w:rFonts w:ascii="Times New Roman" w:eastAsia="Times New Roman" w:hAnsi="Times New Roman" w:cs="Times New Roman"/>
          <w:iCs/>
          <w:sz w:val="24"/>
          <w:szCs w:val="24"/>
        </w:rPr>
        <w:t xml:space="preserve">Алмазювелирэкспорт», Распоряжением Правительства Российской Федерации от 2 сентября 2017 г. № 1901-р и Распоряжением ТУ </w:t>
      </w:r>
      <w:proofErr w:type="spellStart"/>
      <w:r w:rsidRPr="000B180A">
        <w:rPr>
          <w:rFonts w:ascii="Times New Roman" w:eastAsia="Times New Roman" w:hAnsi="Times New Roman" w:cs="Times New Roman"/>
          <w:iCs/>
          <w:sz w:val="24"/>
          <w:szCs w:val="24"/>
        </w:rPr>
        <w:t>Росимущества</w:t>
      </w:r>
      <w:proofErr w:type="spellEnd"/>
      <w:r w:rsidRPr="000B180A">
        <w:rPr>
          <w:rFonts w:ascii="Times New Roman" w:eastAsia="Times New Roman" w:hAnsi="Times New Roman" w:cs="Times New Roman"/>
          <w:iCs/>
          <w:sz w:val="24"/>
          <w:szCs w:val="24"/>
        </w:rPr>
        <w:t xml:space="preserve"> в г. Москве от 27 декабря 2018 г. № 1701); </w:t>
      </w:r>
      <w:proofErr w:type="gramEnd"/>
    </w:p>
    <w:p w:rsidR="000B180A" w:rsidRPr="000B180A" w:rsidRDefault="000B180A" w:rsidP="000B180A">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proofErr w:type="gramStart"/>
      <w:r w:rsidRPr="000B180A">
        <w:rPr>
          <w:rFonts w:ascii="Times New Roman" w:eastAsia="Times New Roman" w:hAnsi="Times New Roman" w:cs="Times New Roman"/>
          <w:sz w:val="24"/>
          <w:szCs w:val="24"/>
        </w:rPr>
        <w:t>1 18 00000 01 0000 150 «Поступления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 прогноз поступлений не формировался в связи с тем, что по данному коду бюджетной классификации производится погашение межбюджетной задолженности на основании поступившей в Минфин России Справки о межбюджетной задолженности по доходам бюджетов (форма по КФД</w:t>
      </w:r>
      <w:proofErr w:type="gramEnd"/>
      <w:r w:rsidRPr="000B180A">
        <w:rPr>
          <w:rFonts w:ascii="Times New Roman" w:eastAsia="Times New Roman" w:hAnsi="Times New Roman" w:cs="Times New Roman"/>
          <w:sz w:val="24"/>
          <w:szCs w:val="24"/>
        </w:rPr>
        <w:t xml:space="preserve"> 0531479); </w:t>
      </w:r>
    </w:p>
    <w:p w:rsidR="000B180A" w:rsidRPr="000B180A" w:rsidRDefault="000B180A" w:rsidP="000B180A">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r w:rsidRPr="000B180A">
        <w:rPr>
          <w:rFonts w:ascii="Times New Roman" w:eastAsia="Times New Roman" w:hAnsi="Times New Roman" w:cs="Times New Roman"/>
          <w:sz w:val="24"/>
          <w:szCs w:val="24"/>
        </w:rPr>
        <w:t xml:space="preserve">2 18 55226 01 1001 150 «Доходы федерального бюджета от возврата остатков межбюджетных трансфертов на финансовое обеспечение отдельных </w:t>
      </w:r>
      <w:proofErr w:type="spellStart"/>
      <w:r w:rsidRPr="000B180A">
        <w:rPr>
          <w:rFonts w:ascii="Times New Roman" w:eastAsia="Times New Roman" w:hAnsi="Times New Roman" w:cs="Times New Roman"/>
          <w:sz w:val="24"/>
          <w:szCs w:val="24"/>
        </w:rPr>
        <w:t>нестраховых</w:t>
      </w:r>
      <w:proofErr w:type="spellEnd"/>
      <w:r w:rsidRPr="000B180A">
        <w:rPr>
          <w:rFonts w:ascii="Times New Roman" w:eastAsia="Times New Roman" w:hAnsi="Times New Roman" w:cs="Times New Roman"/>
          <w:sz w:val="24"/>
          <w:szCs w:val="24"/>
        </w:rPr>
        <w:t xml:space="preserve"> расходов из бюджета Федерального фонда обязательного медицинского страхования»,  т.к. указанный код включен в перечень администрируемых источников доходов приказом Минфина России от 29 апреля 2021 г. № 197;</w:t>
      </w:r>
    </w:p>
    <w:p w:rsidR="000B180A" w:rsidRDefault="000B180A" w:rsidP="000B180A">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proofErr w:type="gramStart"/>
      <w:r w:rsidRPr="000B180A">
        <w:rPr>
          <w:rFonts w:ascii="Times New Roman" w:eastAsia="Times New Roman" w:hAnsi="Times New Roman" w:cs="Times New Roman"/>
          <w:sz w:val="24"/>
          <w:szCs w:val="24"/>
        </w:rPr>
        <w:t xml:space="preserve">2 18 55209 01 1002 150 «Доходы федерального бюджета от возврата остатков межбюджетных трансфертов на </w:t>
      </w:r>
      <w:proofErr w:type="spellStart"/>
      <w:r w:rsidRPr="000B180A">
        <w:rPr>
          <w:rFonts w:ascii="Times New Roman" w:eastAsia="Times New Roman" w:hAnsi="Times New Roman" w:cs="Times New Roman"/>
          <w:sz w:val="24"/>
          <w:szCs w:val="24"/>
        </w:rPr>
        <w:t>софинансирование</w:t>
      </w:r>
      <w:proofErr w:type="spellEnd"/>
      <w:r w:rsidRPr="000B180A">
        <w:rPr>
          <w:rFonts w:ascii="Times New Roman" w:eastAsia="Times New Roman" w:hAnsi="Times New Roman" w:cs="Times New Roman"/>
          <w:sz w:val="24"/>
          <w:szCs w:val="24"/>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т.к. указанный код включен в перечень администрируемых источников доходов приказом </w:t>
      </w:r>
      <w:r w:rsidRPr="000B180A">
        <w:rPr>
          <w:rFonts w:ascii="Times New Roman" w:eastAsia="Times New Roman" w:hAnsi="Times New Roman" w:cs="Times New Roman"/>
          <w:sz w:val="24"/>
          <w:szCs w:val="24"/>
        </w:rPr>
        <w:lastRenderedPageBreak/>
        <w:t>Минфина России</w:t>
      </w:r>
      <w:proofErr w:type="gramEnd"/>
      <w:r w:rsidRPr="000B180A">
        <w:rPr>
          <w:rFonts w:ascii="Times New Roman" w:eastAsia="Times New Roman" w:hAnsi="Times New Roman" w:cs="Times New Roman"/>
          <w:sz w:val="24"/>
          <w:szCs w:val="24"/>
        </w:rPr>
        <w:t xml:space="preserve"> от 27 июля 2021 г. № 340</w:t>
      </w:r>
      <w:r>
        <w:rPr>
          <w:rFonts w:ascii="Times New Roman" w:eastAsia="Times New Roman" w:hAnsi="Times New Roman" w:cs="Times New Roman"/>
          <w:sz w:val="24"/>
          <w:szCs w:val="24"/>
        </w:rPr>
        <w:t>.</w:t>
      </w:r>
    </w:p>
    <w:p w:rsidR="00DA5E97" w:rsidRPr="00DA5E97" w:rsidRDefault="00DA5E97" w:rsidP="00DA5E97">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14"/>
          <w:szCs w:val="14"/>
        </w:rPr>
      </w:pPr>
    </w:p>
    <w:p w:rsidR="00D25B1C" w:rsidRPr="00DA5E97" w:rsidRDefault="00D25B1C" w:rsidP="00D25B1C">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r w:rsidRPr="008E5646">
        <w:rPr>
          <w:rFonts w:ascii="Times New Roman" w:eastAsia="Times New Roman" w:hAnsi="Times New Roman" w:cs="Times New Roman"/>
          <w:b/>
          <w:sz w:val="24"/>
          <w:szCs w:val="24"/>
        </w:rPr>
        <w:t xml:space="preserve">Таблица </w:t>
      </w:r>
      <w:r w:rsidRPr="004A606D">
        <w:rPr>
          <w:rFonts w:ascii="Times New Roman" w:eastAsia="Times New Roman" w:hAnsi="Times New Roman" w:cs="Times New Roman"/>
          <w:b/>
          <w:sz w:val="24"/>
          <w:szCs w:val="24"/>
        </w:rPr>
        <w:t>1. </w:t>
      </w:r>
      <w:r w:rsidR="004A606D" w:rsidRPr="004A606D">
        <w:rPr>
          <w:rFonts w:ascii="Times New Roman" w:eastAsia="Times New Roman" w:hAnsi="Times New Roman" w:cs="Times New Roman"/>
          <w:b/>
          <w:sz w:val="24"/>
          <w:szCs w:val="24"/>
        </w:rPr>
        <w:t xml:space="preserve">Информация о произведенных </w:t>
      </w:r>
      <w:r w:rsidRPr="00D25B1C">
        <w:rPr>
          <w:rFonts w:ascii="Times New Roman" w:eastAsia="Times New Roman" w:hAnsi="Times New Roman" w:cs="Times New Roman"/>
          <w:b/>
          <w:bCs/>
          <w:iCs/>
          <w:sz w:val="24"/>
          <w:szCs w:val="24"/>
          <w:lang w:bidi="ru-RU"/>
        </w:rPr>
        <w:t>возврат</w:t>
      </w:r>
      <w:r w:rsidR="004A606D">
        <w:rPr>
          <w:rFonts w:ascii="Times New Roman" w:eastAsia="Times New Roman" w:hAnsi="Times New Roman" w:cs="Times New Roman"/>
          <w:b/>
          <w:bCs/>
          <w:iCs/>
          <w:sz w:val="24"/>
          <w:szCs w:val="24"/>
          <w:lang w:bidi="ru-RU"/>
        </w:rPr>
        <w:t>ах излишне уплаченных (взысканных)</w:t>
      </w:r>
      <w:bookmarkStart w:id="2" w:name="_GoBack"/>
      <w:bookmarkEnd w:id="2"/>
      <w:r w:rsidR="004A606D">
        <w:rPr>
          <w:rFonts w:ascii="Times New Roman" w:eastAsia="Times New Roman" w:hAnsi="Times New Roman" w:cs="Times New Roman"/>
          <w:b/>
          <w:bCs/>
          <w:iCs/>
          <w:sz w:val="24"/>
          <w:szCs w:val="24"/>
          <w:lang w:bidi="ru-RU"/>
        </w:rPr>
        <w:t xml:space="preserve"> платежей в федеральный бюджет пеней и штрафов в разрезе кодов бюджетной классификации</w:t>
      </w:r>
      <w:r w:rsidRPr="00DA5E97">
        <w:rPr>
          <w:rFonts w:ascii="Times New Roman" w:eastAsia="Times New Roman" w:hAnsi="Times New Roman" w:cs="Times New Roman"/>
          <w:b/>
          <w:sz w:val="24"/>
          <w:szCs w:val="24"/>
        </w:rPr>
        <w:t>.</w:t>
      </w:r>
    </w:p>
    <w:tbl>
      <w:tblPr>
        <w:tblW w:w="10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521"/>
        <w:gridCol w:w="1446"/>
        <w:gridCol w:w="1530"/>
      </w:tblGrid>
      <w:tr w:rsidR="00D25B1C" w:rsidRPr="00D25B1C" w:rsidTr="00D25B1C">
        <w:trPr>
          <w:trHeight w:val="20"/>
          <w:tblHeader/>
        </w:trPr>
        <w:tc>
          <w:tcPr>
            <w:tcW w:w="567" w:type="dxa"/>
            <w:tcBorders>
              <w:top w:val="single" w:sz="4" w:space="0" w:color="auto"/>
              <w:left w:val="single" w:sz="4" w:space="0" w:color="auto"/>
              <w:bottom w:val="single" w:sz="4" w:space="0" w:color="auto"/>
              <w:right w:val="single" w:sz="4" w:space="0" w:color="auto"/>
            </w:tcBorders>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w:t>
            </w:r>
          </w:p>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proofErr w:type="gramStart"/>
            <w:r w:rsidRPr="00D25B1C">
              <w:rPr>
                <w:rFonts w:ascii="Times New Roman" w:eastAsia="Times New Roman" w:hAnsi="Times New Roman" w:cs="Times New Roman"/>
                <w:sz w:val="18"/>
                <w:szCs w:val="18"/>
                <w:lang w:eastAsia="en-US"/>
              </w:rPr>
              <w:t>п</w:t>
            </w:r>
            <w:proofErr w:type="gramEnd"/>
            <w:r w:rsidRPr="00D25B1C">
              <w:rPr>
                <w:rFonts w:ascii="Times New Roman" w:eastAsia="Times New Roman" w:hAnsi="Times New Roman" w:cs="Times New Roman"/>
                <w:sz w:val="18"/>
                <w:szCs w:val="18"/>
                <w:lang w:eastAsia="en-US"/>
              </w:rPr>
              <w:t>/п</w:t>
            </w:r>
          </w:p>
        </w:tc>
        <w:tc>
          <w:tcPr>
            <w:tcW w:w="6521" w:type="dxa"/>
            <w:tcBorders>
              <w:top w:val="single" w:sz="4" w:space="0" w:color="auto"/>
              <w:left w:val="single" w:sz="4" w:space="0" w:color="auto"/>
              <w:bottom w:val="single" w:sz="4" w:space="0" w:color="auto"/>
              <w:right w:val="single" w:sz="4" w:space="0" w:color="auto"/>
            </w:tcBorders>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 xml:space="preserve">Наименования </w:t>
            </w:r>
            <w:proofErr w:type="gramStart"/>
            <w:r w:rsidRPr="00D25B1C">
              <w:rPr>
                <w:rFonts w:ascii="Times New Roman" w:eastAsia="Times New Roman" w:hAnsi="Times New Roman" w:cs="Times New Roman"/>
                <w:sz w:val="18"/>
                <w:szCs w:val="18"/>
                <w:lang w:eastAsia="en-US"/>
              </w:rPr>
              <w:t xml:space="preserve">кодов классификации доходов </w:t>
            </w:r>
            <w:r w:rsidRPr="00D25B1C">
              <w:rPr>
                <w:rFonts w:ascii="Times New Roman" w:eastAsia="Times New Roman" w:hAnsi="Times New Roman" w:cs="Times New Roman"/>
                <w:sz w:val="18"/>
                <w:szCs w:val="18"/>
                <w:lang w:eastAsia="en-US"/>
              </w:rPr>
              <w:br/>
              <w:t>бюджетов Российской Федерации</w:t>
            </w:r>
            <w:proofErr w:type="gramEnd"/>
          </w:p>
        </w:tc>
        <w:tc>
          <w:tcPr>
            <w:tcW w:w="1446" w:type="dxa"/>
            <w:tcBorders>
              <w:top w:val="single" w:sz="4" w:space="0" w:color="auto"/>
              <w:left w:val="single" w:sz="4" w:space="0" w:color="auto"/>
              <w:bottom w:val="single" w:sz="4" w:space="0" w:color="auto"/>
              <w:right w:val="single" w:sz="4" w:space="0" w:color="auto"/>
            </w:tcBorders>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 xml:space="preserve">Количество заявок </w:t>
            </w:r>
            <w:r w:rsidRPr="00D25B1C">
              <w:rPr>
                <w:rFonts w:ascii="Times New Roman" w:eastAsia="Times New Roman" w:hAnsi="Times New Roman" w:cs="Times New Roman"/>
                <w:sz w:val="18"/>
                <w:szCs w:val="18"/>
                <w:lang w:eastAsia="en-US"/>
              </w:rPr>
              <w:br/>
              <w:t>на возврат</w:t>
            </w:r>
          </w:p>
        </w:tc>
        <w:tc>
          <w:tcPr>
            <w:tcW w:w="1530" w:type="dxa"/>
            <w:tcBorders>
              <w:top w:val="single" w:sz="4" w:space="0" w:color="auto"/>
              <w:left w:val="single" w:sz="4" w:space="0" w:color="auto"/>
              <w:bottom w:val="single" w:sz="4" w:space="0" w:color="auto"/>
              <w:right w:val="single" w:sz="4" w:space="0" w:color="auto"/>
            </w:tcBorders>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 xml:space="preserve">Суммы возвратов </w:t>
            </w:r>
            <w:r w:rsidRPr="00D25B1C">
              <w:rPr>
                <w:rFonts w:ascii="Times New Roman" w:eastAsia="Times New Roman" w:hAnsi="Times New Roman" w:cs="Times New Roman"/>
                <w:sz w:val="18"/>
                <w:szCs w:val="18"/>
                <w:lang w:eastAsia="en-US"/>
              </w:rPr>
              <w:br/>
              <w:t>(тыс. рублей)</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092 1 11 03010 01 0000 120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Проценты, полученные от предоставления бюджетных кредитов внутри страны за счет средств федерального бюджета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7</w:t>
            </w:r>
          </w:p>
        </w:tc>
        <w:tc>
          <w:tcPr>
            <w:tcW w:w="1530"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19 168,5</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2.</w:t>
            </w:r>
          </w:p>
        </w:tc>
        <w:tc>
          <w:tcPr>
            <w:tcW w:w="6521"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092 1 13 02991 01 0000 130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Прочие доходы от компенсации затрат федерального бюджета</w:t>
            </w:r>
          </w:p>
        </w:tc>
        <w:tc>
          <w:tcPr>
            <w:tcW w:w="1446"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2</w:t>
            </w:r>
          </w:p>
        </w:tc>
        <w:tc>
          <w:tcPr>
            <w:tcW w:w="1530"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165,7</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3.</w:t>
            </w:r>
          </w:p>
        </w:tc>
        <w:tc>
          <w:tcPr>
            <w:tcW w:w="6521"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092 1 16 10013 01 0000 140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446"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w:t>
            </w:r>
          </w:p>
        </w:tc>
        <w:tc>
          <w:tcPr>
            <w:tcW w:w="1530"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36,7</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4.</w:t>
            </w:r>
          </w:p>
        </w:tc>
        <w:tc>
          <w:tcPr>
            <w:tcW w:w="6521"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092 1 16 10121 01 0000 140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1446"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6</w:t>
            </w:r>
          </w:p>
        </w:tc>
        <w:tc>
          <w:tcPr>
            <w:tcW w:w="1530"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27,9</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5.</w:t>
            </w:r>
          </w:p>
        </w:tc>
        <w:tc>
          <w:tcPr>
            <w:tcW w:w="6521"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092 2 18 01010 01 0000 150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Доходы федерального бюджета от возврата бюджетными учреждениями остатков субсидий прошлых лет</w:t>
            </w:r>
          </w:p>
        </w:tc>
        <w:tc>
          <w:tcPr>
            <w:tcW w:w="1446"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w:t>
            </w:r>
          </w:p>
        </w:tc>
        <w:tc>
          <w:tcPr>
            <w:tcW w:w="1530"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0,08</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6.</w:t>
            </w:r>
          </w:p>
        </w:tc>
        <w:tc>
          <w:tcPr>
            <w:tcW w:w="6521"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092 2 18 90000 01 0000 150</w:t>
            </w:r>
          </w:p>
          <w:p w:rsidR="00D25B1C" w:rsidRPr="00D25B1C" w:rsidRDefault="00D25B1C" w:rsidP="00D25B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446"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1</w:t>
            </w:r>
          </w:p>
        </w:tc>
        <w:tc>
          <w:tcPr>
            <w:tcW w:w="1530"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en-US"/>
              </w:rPr>
            </w:pPr>
            <w:r w:rsidRPr="00D25B1C">
              <w:rPr>
                <w:rFonts w:ascii="Times New Roman" w:eastAsia="Times New Roman" w:hAnsi="Times New Roman" w:cs="Times New Roman"/>
                <w:sz w:val="18"/>
                <w:szCs w:val="18"/>
                <w:lang w:eastAsia="en-US"/>
              </w:rPr>
              <w:t>25 653,7</w:t>
            </w:r>
          </w:p>
        </w:tc>
      </w:tr>
      <w:tr w:rsidR="00D25B1C" w:rsidRPr="00D25B1C" w:rsidTr="00D25B1C">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contextualSpacing/>
              <w:textAlignment w:val="baseline"/>
              <w:rPr>
                <w:rFonts w:ascii="Times New Roman" w:eastAsia="Times New Roman" w:hAnsi="Times New Roman" w:cs="Times New Roman"/>
                <w:b/>
                <w:sz w:val="18"/>
                <w:szCs w:val="18"/>
                <w:lang w:eastAsia="en-US"/>
              </w:rPr>
            </w:pPr>
            <w:r w:rsidRPr="00D25B1C">
              <w:rPr>
                <w:rFonts w:ascii="Times New Roman" w:eastAsia="Times New Roman" w:hAnsi="Times New Roman" w:cs="Times New Roman"/>
                <w:b/>
                <w:sz w:val="18"/>
                <w:szCs w:val="18"/>
                <w:lang w:eastAsia="en-US"/>
              </w:rPr>
              <w:t>Всего:</w:t>
            </w:r>
          </w:p>
        </w:tc>
        <w:tc>
          <w:tcPr>
            <w:tcW w:w="1446"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en-US"/>
              </w:rPr>
            </w:pPr>
            <w:r w:rsidRPr="00D25B1C">
              <w:rPr>
                <w:rFonts w:ascii="Times New Roman" w:eastAsia="Times New Roman" w:hAnsi="Times New Roman" w:cs="Times New Roman"/>
                <w:b/>
                <w:sz w:val="18"/>
                <w:szCs w:val="18"/>
                <w:lang w:eastAsia="en-US"/>
              </w:rPr>
              <w:t>18</w:t>
            </w:r>
          </w:p>
        </w:tc>
        <w:tc>
          <w:tcPr>
            <w:tcW w:w="1530" w:type="dxa"/>
            <w:tcBorders>
              <w:top w:val="single" w:sz="4" w:space="0" w:color="auto"/>
              <w:left w:val="single" w:sz="4" w:space="0" w:color="auto"/>
              <w:bottom w:val="single" w:sz="4" w:space="0" w:color="auto"/>
              <w:right w:val="single" w:sz="4" w:space="0" w:color="auto"/>
            </w:tcBorders>
            <w:vAlign w:val="center"/>
            <w:hideMark/>
          </w:tcPr>
          <w:p w:rsidR="00D25B1C" w:rsidRPr="00D25B1C" w:rsidRDefault="00D25B1C" w:rsidP="00D25B1C">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en-US"/>
              </w:rPr>
            </w:pPr>
            <w:r w:rsidRPr="00D25B1C">
              <w:rPr>
                <w:rFonts w:ascii="Times New Roman" w:eastAsia="Times New Roman" w:hAnsi="Times New Roman" w:cs="Times New Roman"/>
                <w:b/>
                <w:sz w:val="18"/>
                <w:szCs w:val="18"/>
                <w:lang w:eastAsia="en-US"/>
              </w:rPr>
              <w:t>45 052,58</w:t>
            </w:r>
          </w:p>
        </w:tc>
      </w:tr>
    </w:tbl>
    <w:p w:rsidR="00D25B1C" w:rsidRDefault="00D25B1C" w:rsidP="00DA5E97">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p>
    <w:p w:rsidR="00DA5E97" w:rsidRPr="00DA5E97" w:rsidRDefault="00DA5E97" w:rsidP="00DA5E97">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b/>
          <w:sz w:val="24"/>
          <w:szCs w:val="24"/>
        </w:rPr>
      </w:pPr>
      <w:r w:rsidRPr="008E5646">
        <w:rPr>
          <w:rFonts w:ascii="Times New Roman" w:eastAsia="Times New Roman" w:hAnsi="Times New Roman" w:cs="Times New Roman"/>
          <w:b/>
          <w:sz w:val="24"/>
          <w:szCs w:val="24"/>
        </w:rPr>
        <w:t xml:space="preserve">Таблица </w:t>
      </w:r>
      <w:r w:rsidR="00D25B1C">
        <w:rPr>
          <w:rFonts w:ascii="Times New Roman" w:eastAsia="Times New Roman" w:hAnsi="Times New Roman" w:cs="Times New Roman"/>
          <w:b/>
          <w:sz w:val="24"/>
          <w:szCs w:val="24"/>
        </w:rPr>
        <w:t>2</w:t>
      </w:r>
      <w:r w:rsidRPr="008E5646">
        <w:rPr>
          <w:rFonts w:ascii="Times New Roman" w:eastAsia="Times New Roman" w:hAnsi="Times New Roman" w:cs="Times New Roman"/>
          <w:b/>
          <w:sz w:val="24"/>
          <w:szCs w:val="24"/>
        </w:rPr>
        <w:t>.</w:t>
      </w:r>
      <w:r w:rsidRPr="008E5646">
        <w:rPr>
          <w:rFonts w:ascii="Times New Roman" w:eastAsia="Times New Roman" w:hAnsi="Times New Roman" w:cs="Times New Roman"/>
          <w:sz w:val="24"/>
          <w:szCs w:val="24"/>
        </w:rPr>
        <w:t> </w:t>
      </w:r>
      <w:r w:rsidRPr="000B180A">
        <w:rPr>
          <w:rFonts w:ascii="Times New Roman" w:eastAsia="Times New Roman" w:hAnsi="Times New Roman" w:cs="Times New Roman"/>
          <w:b/>
          <w:sz w:val="24"/>
          <w:szCs w:val="24"/>
        </w:rPr>
        <w:t> </w:t>
      </w:r>
      <w:r w:rsidRPr="00DA5E97">
        <w:rPr>
          <w:rFonts w:ascii="Times New Roman" w:eastAsia="Times New Roman" w:hAnsi="Times New Roman" w:cs="Times New Roman"/>
          <w:b/>
          <w:sz w:val="24"/>
          <w:szCs w:val="24"/>
        </w:rPr>
        <w:t>Работа по уточнению вида и принадлежности платежей, в том числе платежей, зачисленных в разряд невыясненных.</w:t>
      </w:r>
    </w:p>
    <w:tbl>
      <w:tblPr>
        <w:tblW w:w="104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980"/>
        <w:gridCol w:w="1275"/>
        <w:gridCol w:w="1417"/>
      </w:tblGrid>
      <w:tr w:rsidR="00DA5E97" w:rsidRPr="00DA5E97" w:rsidTr="00D25B1C">
        <w:trPr>
          <w:trHeight w:val="340"/>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w:t>
            </w:r>
          </w:p>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roofErr w:type="gramStart"/>
            <w:r w:rsidRPr="00DA5E97">
              <w:rPr>
                <w:rFonts w:ascii="Times New Roman" w:eastAsia="Times New Roman" w:hAnsi="Times New Roman" w:cs="Times New Roman"/>
                <w:sz w:val="18"/>
                <w:szCs w:val="18"/>
              </w:rPr>
              <w:t>п</w:t>
            </w:r>
            <w:proofErr w:type="gramEnd"/>
            <w:r w:rsidRPr="00DA5E97">
              <w:rPr>
                <w:rFonts w:ascii="Times New Roman" w:eastAsia="Times New Roman" w:hAnsi="Times New Roman" w:cs="Times New Roman"/>
                <w:sz w:val="18"/>
                <w:szCs w:val="18"/>
              </w:rPr>
              <w:t>/п</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Наименования кодов доходов бюджетной классификации</w:t>
            </w:r>
          </w:p>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Сумма проведенных зачетов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Суммы уточненных платежей</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092 1 10 07000 01 0000 180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Прочие поступления от внешнеэкономической деятельности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111,7</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092 1 11 02012 01 0000 120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Доходы по остаткам средств на счетах федерального бюджета и от их размещения, кроме средств Фонда национального благосостояния</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2 475,5</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092 1 11 03010 01 2500 120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1 590,8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4.</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092 1 11 03010 01 2800 120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proofErr w:type="gramStart"/>
            <w:r w:rsidRPr="00DA5E97">
              <w:rPr>
                <w:rFonts w:ascii="Times New Roman" w:hAnsi="Times New Roman" w:cs="Times New Roman"/>
                <w:sz w:val="18"/>
                <w:szCs w:val="1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roofErr w:type="gramEnd"/>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3 071,5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5.</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092 1 11 03010 01 4601 120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Проценты, полученные от предоставления бюджетных кредитов внутри страны за счет средств федерального бюджета (прочие кредиты (бюджетные ссуды), возврат которых осуществляется юридическим лицом)</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8 136,2</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6.</w:t>
            </w:r>
          </w:p>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092 1 11 03010 01 5002 120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4 199,0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2 693,5</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7.</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092 1 11 03010 01 5003 120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w:t>
            </w:r>
            <w:r w:rsidRPr="00DA5E97">
              <w:rPr>
                <w:rFonts w:ascii="Times New Roman" w:hAnsi="Times New Roman" w:cs="Times New Roman"/>
                <w:sz w:val="18"/>
                <w:szCs w:val="18"/>
              </w:rPr>
              <w:lastRenderedPageBreak/>
              <w:t>осуществляется субъектом Российской Федерации на условиях реструктуризации задолженности по указанным бюджетным кредитам)</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lastRenderedPageBreak/>
              <w:t>51 165,4</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lastRenderedPageBreak/>
              <w:t>8.</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092 1 11 03010 01 5103 120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8 440,7</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9.</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092 1 11 03010 01 5301 120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DA5E97">
              <w:rPr>
                <w:rFonts w:ascii="Times New Roman" w:hAnsi="Times New Roman" w:cs="Times New Roman"/>
                <w:sz w:val="18"/>
                <w:szCs w:val="18"/>
              </w:rPr>
              <w:t>монопрофильных</w:t>
            </w:r>
            <w:proofErr w:type="spellEnd"/>
            <w:r w:rsidRPr="00DA5E97">
              <w:rPr>
                <w:rFonts w:ascii="Times New Roman" w:hAnsi="Times New Roman" w:cs="Times New Roman"/>
                <w:sz w:val="18"/>
                <w:szCs w:val="18"/>
              </w:rPr>
              <w:t xml:space="preserve"> муниципальных образований, возврат которых осуществляется субъектами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430,2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10.</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092 1 11 03010 01 5303 120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DA5E97">
              <w:rPr>
                <w:rFonts w:ascii="Times New Roman" w:hAnsi="Times New Roman" w:cs="Times New Roman"/>
                <w:sz w:val="18"/>
                <w:szCs w:val="18"/>
              </w:rPr>
              <w:t>монопрофильных</w:t>
            </w:r>
            <w:proofErr w:type="spellEnd"/>
            <w:r w:rsidRPr="00DA5E97">
              <w:rPr>
                <w:rFonts w:ascii="Times New Roman" w:hAnsi="Times New Roman" w:cs="Times New Roman"/>
                <w:sz w:val="18"/>
                <w:szCs w:val="18"/>
              </w:rPr>
              <w:t xml:space="preserve">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430,2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11.</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092 1 11 04010 01 0003 120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6 618 789,7</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12.</w:t>
            </w:r>
          </w:p>
        </w:tc>
        <w:tc>
          <w:tcPr>
            <w:tcW w:w="6980"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092 1 11 12012 01 0000 120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376,0</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13.</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092 1 13 02991 01 0000 130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Прочие доходы от компенсации затрат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3 242,2</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14.</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092 1 16 07010 01 0000 140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proofErr w:type="gramStart"/>
            <w:r w:rsidRPr="00DA5E97">
              <w:rPr>
                <w:rFonts w:ascii="Times New Roman" w:eastAsia="Times New Roman" w:hAnsi="Times New Roman" w:cs="Times New Roman"/>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roofErr w:type="gramEnd"/>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1 288,4</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15.</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092 1 16 07090 01 0000 140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895,1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1 155,6</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16.</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092 1 16 10013 01 0000 140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36 622,3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5 294,8</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17.</w:t>
            </w:r>
          </w:p>
        </w:tc>
        <w:tc>
          <w:tcPr>
            <w:tcW w:w="6980"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092 1 17 05010 01 0000 180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Прочие неналоговые доходы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170 978,1</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18.</w:t>
            </w:r>
          </w:p>
        </w:tc>
        <w:tc>
          <w:tcPr>
            <w:tcW w:w="6980"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092 2 18 01030 01 0000 150</w:t>
            </w:r>
          </w:p>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Доходы федерального бюджета от возврата иными организациями остатков субсидий прошлых лет</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2 192,6</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19.</w:t>
            </w:r>
          </w:p>
        </w:tc>
        <w:tc>
          <w:tcPr>
            <w:tcW w:w="6980"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092 2 18 35900 01 1001 150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998,4</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20.</w:t>
            </w:r>
          </w:p>
        </w:tc>
        <w:tc>
          <w:tcPr>
            <w:tcW w:w="6980"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092 2 18 35900 01 1002 150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142,5</w:t>
            </w:r>
          </w:p>
        </w:tc>
        <w:tc>
          <w:tcPr>
            <w:tcW w:w="14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21.</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092 2 18 45550 01 1002 150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 xml:space="preserve">Доходы федерального бюджета от возврата остатков иных межбюджетных трансфертов за достижение </w:t>
            </w:r>
            <w:proofErr w:type="gramStart"/>
            <w:r w:rsidRPr="00DA5E97">
              <w:rPr>
                <w:rFonts w:ascii="Times New Roman" w:eastAsia="Times New Roman" w:hAnsi="Times New Roman" w:cs="Times New Roman"/>
                <w:sz w:val="18"/>
                <w:szCs w:val="18"/>
              </w:rPr>
              <w:t>показателей деятельности органов исполнительной власти субъектов Российской Федерации</w:t>
            </w:r>
            <w:proofErr w:type="gramEnd"/>
            <w:r w:rsidRPr="00DA5E97">
              <w:rPr>
                <w:rFonts w:ascii="Times New Roman" w:eastAsia="Times New Roman" w:hAnsi="Times New Roman" w:cs="Times New Roman"/>
                <w:sz w:val="18"/>
                <w:szCs w:val="1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122,6</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lastRenderedPageBreak/>
              <w:t>22.</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092 2 18 45550 01 1003 150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 xml:space="preserve">Доходы федерального бюджета от возврата остатков иных межбюджетных трансфертов за достижение </w:t>
            </w:r>
            <w:proofErr w:type="gramStart"/>
            <w:r w:rsidRPr="00DA5E97">
              <w:rPr>
                <w:rFonts w:ascii="Times New Roman" w:hAnsi="Times New Roman" w:cs="Times New Roman"/>
                <w:sz w:val="18"/>
                <w:szCs w:val="18"/>
              </w:rPr>
              <w:t>показателей деятельности органов исполнительной власти субъектов Российской Федерации</w:t>
            </w:r>
            <w:proofErr w:type="gramEnd"/>
            <w:r w:rsidRPr="00DA5E97">
              <w:rPr>
                <w:rFonts w:ascii="Times New Roman" w:hAnsi="Times New Roman" w:cs="Times New Roman"/>
                <w:sz w:val="18"/>
                <w:szCs w:val="1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258,6</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23.</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092 2 18 55226 01 1001 150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 xml:space="preserve">Доходы федерального бюджета от возврата остатков межбюджетных трансфертов на финансовое обеспечение отдельных </w:t>
            </w:r>
            <w:proofErr w:type="spellStart"/>
            <w:r w:rsidRPr="00DA5E97">
              <w:rPr>
                <w:rFonts w:ascii="Times New Roman" w:hAnsi="Times New Roman" w:cs="Times New Roman"/>
                <w:sz w:val="18"/>
                <w:szCs w:val="18"/>
              </w:rPr>
              <w:t>нестраховых</w:t>
            </w:r>
            <w:proofErr w:type="spellEnd"/>
            <w:r w:rsidRPr="00DA5E97">
              <w:rPr>
                <w:rFonts w:ascii="Times New Roman" w:hAnsi="Times New Roman" w:cs="Times New Roman"/>
                <w:sz w:val="18"/>
                <w:szCs w:val="18"/>
              </w:rPr>
              <w:t xml:space="preserve">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3 028 621,5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24.</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092 2 18 71010 01 1002 150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hAnsi="Times New Roman" w:cs="Times New Roman"/>
                <w:sz w:val="18"/>
                <w:szCs w:val="1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3 028 621,5</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25.</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092 2 18 90000 01 1001 150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111,0</w:t>
            </w:r>
          </w:p>
        </w:tc>
      </w:tr>
      <w:tr w:rsidR="00DA5E97" w:rsidRPr="00DA5E97" w:rsidTr="00D25B1C">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26.</w:t>
            </w: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092 2 18 90000 01 1002 150</w:t>
            </w:r>
          </w:p>
          <w:p w:rsidR="00DA5E97" w:rsidRPr="00DA5E97" w:rsidRDefault="00DA5E97" w:rsidP="00DA5E97">
            <w:pPr>
              <w:autoSpaceDE w:val="0"/>
              <w:autoSpaceDN w:val="0"/>
              <w:adjustRightInd w:val="0"/>
              <w:spacing w:after="0" w:line="240" w:lineRule="auto"/>
              <w:jc w:val="both"/>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280,2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sz w:val="18"/>
                <w:szCs w:val="18"/>
              </w:rPr>
              <w:t>9 358,8</w:t>
            </w:r>
          </w:p>
        </w:tc>
      </w:tr>
      <w:tr w:rsidR="00DA5E97" w:rsidRPr="00DA5E97" w:rsidTr="00D25B1C">
        <w:trPr>
          <w:trHeight w:val="116"/>
        </w:trPr>
        <w:tc>
          <w:tcPr>
            <w:tcW w:w="817"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rPr>
            </w:pPr>
          </w:p>
        </w:tc>
        <w:tc>
          <w:tcPr>
            <w:tcW w:w="6980"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rPr>
            </w:pPr>
            <w:r w:rsidRPr="00DA5E97">
              <w:rPr>
                <w:rFonts w:ascii="Times New Roman" w:eastAsia="Times New Roman" w:hAnsi="Times New Roman" w:cs="Times New Roman"/>
                <w:b/>
                <w:sz w:val="18"/>
                <w:szCs w:val="18"/>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DA5E97">
              <w:rPr>
                <w:rFonts w:ascii="Times New Roman" w:eastAsia="Times New Roman" w:hAnsi="Times New Roman" w:cs="Times New Roman"/>
                <w:b/>
                <w:sz w:val="18"/>
                <w:szCs w:val="18"/>
              </w:rPr>
              <w:t>3 136 012,1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5E97" w:rsidRPr="00DA5E97" w:rsidRDefault="00DA5E97" w:rsidP="00DA5E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rPr>
            </w:pPr>
            <w:r w:rsidRPr="00DA5E97">
              <w:rPr>
                <w:rFonts w:ascii="Times New Roman" w:eastAsia="Times New Roman" w:hAnsi="Times New Roman" w:cs="Times New Roman"/>
                <w:b/>
                <w:sz w:val="18"/>
                <w:szCs w:val="18"/>
              </w:rPr>
              <w:t>9 856 082,6</w:t>
            </w:r>
          </w:p>
        </w:tc>
      </w:tr>
    </w:tbl>
    <w:p w:rsidR="00DA5E97" w:rsidRPr="000B180A" w:rsidRDefault="00DA5E97" w:rsidP="00DA5E97">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p>
    <w:sectPr w:rsidR="00DA5E97" w:rsidRPr="000B180A" w:rsidSect="00596CBD">
      <w:headerReference w:type="default" r:id="rId9"/>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B1C" w:rsidRDefault="00D25B1C" w:rsidP="00AE471E">
      <w:pPr>
        <w:spacing w:after="0" w:line="240" w:lineRule="auto"/>
      </w:pPr>
      <w:r>
        <w:separator/>
      </w:r>
    </w:p>
  </w:endnote>
  <w:endnote w:type="continuationSeparator" w:id="0">
    <w:p w:rsidR="00D25B1C" w:rsidRDefault="00D25B1C" w:rsidP="00AE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B1C" w:rsidRDefault="00D25B1C" w:rsidP="00AE471E">
      <w:pPr>
        <w:spacing w:after="0" w:line="240" w:lineRule="auto"/>
      </w:pPr>
      <w:r>
        <w:separator/>
      </w:r>
    </w:p>
  </w:footnote>
  <w:footnote w:type="continuationSeparator" w:id="0">
    <w:p w:rsidR="00D25B1C" w:rsidRDefault="00D25B1C" w:rsidP="00AE471E">
      <w:pPr>
        <w:spacing w:after="0" w:line="240" w:lineRule="auto"/>
      </w:pPr>
      <w:r>
        <w:continuationSeparator/>
      </w:r>
    </w:p>
  </w:footnote>
  <w:footnote w:id="1">
    <w:p w:rsidR="00D25B1C" w:rsidRPr="00E13AF4" w:rsidRDefault="00D25B1C" w:rsidP="004E7D95">
      <w:pPr>
        <w:pStyle w:val="a4"/>
        <w:ind w:firstLine="709"/>
        <w:jc w:val="both"/>
        <w:rPr>
          <w:sz w:val="16"/>
          <w:szCs w:val="16"/>
        </w:rPr>
      </w:pPr>
      <w:r w:rsidRPr="00E13AF4">
        <w:rPr>
          <w:rStyle w:val="a3"/>
          <w:sz w:val="16"/>
          <w:szCs w:val="16"/>
        </w:rPr>
        <w:footnoteRef/>
      </w:r>
      <w:r w:rsidRPr="00E13AF4">
        <w:rPr>
          <w:sz w:val="16"/>
          <w:szCs w:val="16"/>
        </w:rPr>
        <w:t xml:space="preserve"> В соответствии с частью 1 статьи 3 Федерального закона от 28 июня 2021 г. № 228-ФЗ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 (долее – Закон № 228-ФЗ).</w:t>
      </w:r>
    </w:p>
  </w:footnote>
  <w:footnote w:id="2">
    <w:p w:rsidR="00D25B1C" w:rsidRPr="000B1D3D" w:rsidRDefault="00D25B1C" w:rsidP="004E7D95">
      <w:pPr>
        <w:pStyle w:val="a4"/>
        <w:ind w:firstLine="709"/>
        <w:jc w:val="both"/>
        <w:rPr>
          <w:sz w:val="16"/>
          <w:szCs w:val="16"/>
        </w:rPr>
      </w:pPr>
      <w:r w:rsidRPr="000B1D3D">
        <w:rPr>
          <w:rStyle w:val="a3"/>
          <w:sz w:val="16"/>
          <w:szCs w:val="16"/>
        </w:rPr>
        <w:footnoteRef/>
      </w:r>
      <w:r w:rsidRPr="000B1D3D">
        <w:rPr>
          <w:sz w:val="16"/>
          <w:szCs w:val="16"/>
        </w:rPr>
        <w:t xml:space="preserve"> В соответствии с частью 1 статьи 3 Закона № 228-ФЗ.</w:t>
      </w:r>
    </w:p>
  </w:footnote>
  <w:footnote w:id="3">
    <w:p w:rsidR="00D25B1C" w:rsidRPr="005837D1" w:rsidRDefault="00D25B1C" w:rsidP="00E17ED6">
      <w:pPr>
        <w:pStyle w:val="a4"/>
        <w:ind w:firstLine="426"/>
        <w:jc w:val="both"/>
        <w:rPr>
          <w:sz w:val="16"/>
          <w:szCs w:val="16"/>
        </w:rPr>
      </w:pPr>
      <w:r w:rsidRPr="005837D1">
        <w:rPr>
          <w:rStyle w:val="a3"/>
          <w:sz w:val="16"/>
          <w:szCs w:val="16"/>
        </w:rPr>
        <w:footnoteRef/>
      </w:r>
      <w:r w:rsidRPr="005837D1">
        <w:rPr>
          <w:sz w:val="16"/>
          <w:szCs w:val="16"/>
        </w:rPr>
        <w:t xml:space="preserve"> Операция по продаже обыкновенных акций ПАО «Сбербанк России» произведена в 2020 году в соответствии с Федеральным законом от 18 марта 2020 г. № 49-ФЗ «О перечислении части доходов, полученных Центральным банком Российской Федерации от продажи обыкновенных акций публичного акционерного общества «Сбербанк России». Сумма дохода, перечисленного в федеральный бюджет в 2020 году, составила 1 066 047,7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724317"/>
      <w:docPartObj>
        <w:docPartGallery w:val="Page Numbers (Top of Page)"/>
        <w:docPartUnique/>
      </w:docPartObj>
    </w:sdtPr>
    <w:sdtEndPr>
      <w:rPr>
        <w:rFonts w:ascii="Times New Roman" w:hAnsi="Times New Roman" w:cs="Times New Roman"/>
      </w:rPr>
    </w:sdtEndPr>
    <w:sdtContent>
      <w:p w:rsidR="00D25B1C" w:rsidRPr="00323308" w:rsidRDefault="00D25B1C">
        <w:pPr>
          <w:pStyle w:val="aa"/>
          <w:jc w:val="center"/>
          <w:rPr>
            <w:rFonts w:ascii="Times New Roman" w:hAnsi="Times New Roman" w:cs="Times New Roman"/>
          </w:rPr>
        </w:pPr>
        <w:r w:rsidRPr="00323308">
          <w:rPr>
            <w:rFonts w:ascii="Times New Roman" w:hAnsi="Times New Roman" w:cs="Times New Roman"/>
          </w:rPr>
          <w:fldChar w:fldCharType="begin"/>
        </w:r>
        <w:r w:rsidRPr="00323308">
          <w:rPr>
            <w:rFonts w:ascii="Times New Roman" w:hAnsi="Times New Roman" w:cs="Times New Roman"/>
          </w:rPr>
          <w:instrText>PAGE   \* MERGEFORMAT</w:instrText>
        </w:r>
        <w:r w:rsidRPr="00323308">
          <w:rPr>
            <w:rFonts w:ascii="Times New Roman" w:hAnsi="Times New Roman" w:cs="Times New Roman"/>
          </w:rPr>
          <w:fldChar w:fldCharType="separate"/>
        </w:r>
        <w:r w:rsidR="004A606D">
          <w:rPr>
            <w:rFonts w:ascii="Times New Roman" w:hAnsi="Times New Roman" w:cs="Times New Roman"/>
            <w:noProof/>
          </w:rPr>
          <w:t>15</w:t>
        </w:r>
        <w:r w:rsidRPr="00323308">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C17DC"/>
    <w:multiLevelType w:val="hybridMultilevel"/>
    <w:tmpl w:val="E514D490"/>
    <w:lvl w:ilvl="0" w:tplc="097A0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71E"/>
    <w:rsid w:val="00013DED"/>
    <w:rsid w:val="000423E9"/>
    <w:rsid w:val="0006352C"/>
    <w:rsid w:val="00086C3D"/>
    <w:rsid w:val="0009769D"/>
    <w:rsid w:val="000B180A"/>
    <w:rsid w:val="000B539D"/>
    <w:rsid w:val="000D16AF"/>
    <w:rsid w:val="0011438D"/>
    <w:rsid w:val="00144B4B"/>
    <w:rsid w:val="001514B5"/>
    <w:rsid w:val="001C34D6"/>
    <w:rsid w:val="001C4803"/>
    <w:rsid w:val="001C67AE"/>
    <w:rsid w:val="001D65FB"/>
    <w:rsid w:val="001E5554"/>
    <w:rsid w:val="001F4687"/>
    <w:rsid w:val="0022210E"/>
    <w:rsid w:val="00244DE9"/>
    <w:rsid w:val="00266F4E"/>
    <w:rsid w:val="002671C1"/>
    <w:rsid w:val="0027018F"/>
    <w:rsid w:val="00282CF5"/>
    <w:rsid w:val="00283FA8"/>
    <w:rsid w:val="002A1573"/>
    <w:rsid w:val="002C7990"/>
    <w:rsid w:val="002E5152"/>
    <w:rsid w:val="002F19EC"/>
    <w:rsid w:val="002F7DCA"/>
    <w:rsid w:val="00323308"/>
    <w:rsid w:val="00337894"/>
    <w:rsid w:val="00360078"/>
    <w:rsid w:val="00377D8B"/>
    <w:rsid w:val="00380900"/>
    <w:rsid w:val="003A5441"/>
    <w:rsid w:val="003B0745"/>
    <w:rsid w:val="003C3A7D"/>
    <w:rsid w:val="003D0813"/>
    <w:rsid w:val="003D1CA8"/>
    <w:rsid w:val="00415B5A"/>
    <w:rsid w:val="00423627"/>
    <w:rsid w:val="0043150E"/>
    <w:rsid w:val="0045166E"/>
    <w:rsid w:val="004522BD"/>
    <w:rsid w:val="00485257"/>
    <w:rsid w:val="004A606D"/>
    <w:rsid w:val="004D09D5"/>
    <w:rsid w:val="004D4EC9"/>
    <w:rsid w:val="004E7D95"/>
    <w:rsid w:val="005026C1"/>
    <w:rsid w:val="00537349"/>
    <w:rsid w:val="00542A12"/>
    <w:rsid w:val="00552DBD"/>
    <w:rsid w:val="00565763"/>
    <w:rsid w:val="005726B3"/>
    <w:rsid w:val="00577B2D"/>
    <w:rsid w:val="00585452"/>
    <w:rsid w:val="00596CBD"/>
    <w:rsid w:val="005B40C0"/>
    <w:rsid w:val="005B7407"/>
    <w:rsid w:val="005D4838"/>
    <w:rsid w:val="005F0AB8"/>
    <w:rsid w:val="006066BF"/>
    <w:rsid w:val="00654351"/>
    <w:rsid w:val="0065730C"/>
    <w:rsid w:val="00660B71"/>
    <w:rsid w:val="00691F72"/>
    <w:rsid w:val="00695C42"/>
    <w:rsid w:val="006F3B49"/>
    <w:rsid w:val="006F5511"/>
    <w:rsid w:val="00726F4C"/>
    <w:rsid w:val="00761B53"/>
    <w:rsid w:val="00762EAA"/>
    <w:rsid w:val="0076376A"/>
    <w:rsid w:val="007A6250"/>
    <w:rsid w:val="007A6834"/>
    <w:rsid w:val="007A7EB2"/>
    <w:rsid w:val="007B2F83"/>
    <w:rsid w:val="007B5EDE"/>
    <w:rsid w:val="007C1323"/>
    <w:rsid w:val="007D59E1"/>
    <w:rsid w:val="00882D5C"/>
    <w:rsid w:val="008A3C9E"/>
    <w:rsid w:val="008B3ACF"/>
    <w:rsid w:val="008C0569"/>
    <w:rsid w:val="008D07F0"/>
    <w:rsid w:val="008E10C0"/>
    <w:rsid w:val="00910032"/>
    <w:rsid w:val="00923FEF"/>
    <w:rsid w:val="00977468"/>
    <w:rsid w:val="00982DF0"/>
    <w:rsid w:val="0098429A"/>
    <w:rsid w:val="00993481"/>
    <w:rsid w:val="009A02C8"/>
    <w:rsid w:val="009D23E0"/>
    <w:rsid w:val="009E26EC"/>
    <w:rsid w:val="009F7CA3"/>
    <w:rsid w:val="00A2173D"/>
    <w:rsid w:val="00A26B4C"/>
    <w:rsid w:val="00A72A2A"/>
    <w:rsid w:val="00A77DAE"/>
    <w:rsid w:val="00A8762A"/>
    <w:rsid w:val="00A94041"/>
    <w:rsid w:val="00AA56AB"/>
    <w:rsid w:val="00AC124F"/>
    <w:rsid w:val="00AD41AC"/>
    <w:rsid w:val="00AE00E3"/>
    <w:rsid w:val="00AE471E"/>
    <w:rsid w:val="00B0260C"/>
    <w:rsid w:val="00B12228"/>
    <w:rsid w:val="00B127C7"/>
    <w:rsid w:val="00B40770"/>
    <w:rsid w:val="00B66761"/>
    <w:rsid w:val="00BC1822"/>
    <w:rsid w:val="00BC69EC"/>
    <w:rsid w:val="00BD482D"/>
    <w:rsid w:val="00BE3CE8"/>
    <w:rsid w:val="00BF2724"/>
    <w:rsid w:val="00C00BF3"/>
    <w:rsid w:val="00C5433D"/>
    <w:rsid w:val="00C65FD1"/>
    <w:rsid w:val="00C73D9C"/>
    <w:rsid w:val="00C92693"/>
    <w:rsid w:val="00CF1CEE"/>
    <w:rsid w:val="00D25B1C"/>
    <w:rsid w:val="00D453D5"/>
    <w:rsid w:val="00D46ED8"/>
    <w:rsid w:val="00D50EE7"/>
    <w:rsid w:val="00D51F18"/>
    <w:rsid w:val="00D67E01"/>
    <w:rsid w:val="00D81073"/>
    <w:rsid w:val="00DA5E97"/>
    <w:rsid w:val="00DB07D9"/>
    <w:rsid w:val="00DC2234"/>
    <w:rsid w:val="00DD0F0C"/>
    <w:rsid w:val="00DE601C"/>
    <w:rsid w:val="00E17ED6"/>
    <w:rsid w:val="00E72E8D"/>
    <w:rsid w:val="00E851FF"/>
    <w:rsid w:val="00E932B0"/>
    <w:rsid w:val="00EA713A"/>
    <w:rsid w:val="00EC1C9C"/>
    <w:rsid w:val="00ED0115"/>
    <w:rsid w:val="00ED5D99"/>
    <w:rsid w:val="00F10BDF"/>
    <w:rsid w:val="00F1490E"/>
    <w:rsid w:val="00F30066"/>
    <w:rsid w:val="00F37201"/>
    <w:rsid w:val="00F6153A"/>
    <w:rsid w:val="00FA54D0"/>
    <w:rsid w:val="00FC5554"/>
    <w:rsid w:val="00FD1DCE"/>
    <w:rsid w:val="00FF4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71E"/>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uiPriority w:val="99"/>
    <w:qFormat/>
    <w:rsid w:val="00AE471E"/>
    <w:rPr>
      <w:vertAlign w:val="superscript"/>
    </w:rPr>
  </w:style>
  <w:style w:type="paragraph" w:styleId="a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5"/>
    <w:uiPriority w:val="99"/>
    <w:qFormat/>
    <w:rsid w:val="00AE471E"/>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4"/>
    <w:uiPriority w:val="99"/>
    <w:qFormat/>
    <w:rsid w:val="00AE471E"/>
    <w:rPr>
      <w:rFonts w:ascii="Times New Roman" w:eastAsia="Times New Roman" w:hAnsi="Times New Roman" w:cs="Times New Roman"/>
      <w:sz w:val="20"/>
      <w:szCs w:val="20"/>
      <w:lang w:eastAsia="ru-RU"/>
    </w:rPr>
  </w:style>
  <w:style w:type="paragraph" w:styleId="a6">
    <w:name w:val="Body Text"/>
    <w:aliases w:val="Основной текст1,Основной текст Знак Знак,bt,body text,contents,Òàáëè÷íûé,Oaaee?iue,Табличный,BODY TEXT,t"/>
    <w:basedOn w:val="a"/>
    <w:link w:val="a7"/>
    <w:unhideWhenUsed/>
    <w:qFormat/>
    <w:rsid w:val="00AE471E"/>
    <w:pPr>
      <w:spacing w:after="120"/>
    </w:pPr>
  </w:style>
  <w:style w:type="character" w:customStyle="1" w:styleId="a7">
    <w:name w:val="Основной текст Знак"/>
    <w:aliases w:val="Основной текст1 Знак,Основной текст Знак Знак Знак,bt Знак,body text Знак,contents Знак,Òàáëè÷íûé Знак,Oaaee?iue Знак,Табличный Знак,BODY TEXT Знак,t Знак"/>
    <w:basedOn w:val="a0"/>
    <w:link w:val="a6"/>
    <w:rsid w:val="00AE471E"/>
    <w:rPr>
      <w:rFonts w:eastAsiaTheme="minorEastAsia"/>
      <w:lang w:eastAsia="ru-RU"/>
    </w:rPr>
  </w:style>
  <w:style w:type="paragraph" w:styleId="a8">
    <w:name w:val="Balloon Text"/>
    <w:basedOn w:val="a"/>
    <w:link w:val="a9"/>
    <w:uiPriority w:val="99"/>
    <w:semiHidden/>
    <w:unhideWhenUsed/>
    <w:rsid w:val="002E5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5152"/>
    <w:rPr>
      <w:rFonts w:ascii="Tahoma" w:eastAsiaTheme="minorEastAsia" w:hAnsi="Tahoma" w:cs="Tahoma"/>
      <w:sz w:val="16"/>
      <w:szCs w:val="16"/>
      <w:lang w:eastAsia="ru-RU"/>
    </w:rPr>
  </w:style>
  <w:style w:type="paragraph" w:styleId="aa">
    <w:name w:val="header"/>
    <w:basedOn w:val="a"/>
    <w:link w:val="ab"/>
    <w:uiPriority w:val="99"/>
    <w:unhideWhenUsed/>
    <w:rsid w:val="00415B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5B5A"/>
    <w:rPr>
      <w:rFonts w:eastAsiaTheme="minorEastAsia"/>
      <w:lang w:eastAsia="ru-RU"/>
    </w:rPr>
  </w:style>
  <w:style w:type="paragraph" w:styleId="ac">
    <w:name w:val="footer"/>
    <w:basedOn w:val="a"/>
    <w:link w:val="ad"/>
    <w:uiPriority w:val="99"/>
    <w:unhideWhenUsed/>
    <w:rsid w:val="00415B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5B5A"/>
    <w:rPr>
      <w:rFonts w:eastAsiaTheme="minorEastAsia"/>
      <w:lang w:eastAsia="ru-RU"/>
    </w:rPr>
  </w:style>
  <w:style w:type="table" w:styleId="ae">
    <w:name w:val="Table Grid"/>
    <w:basedOn w:val="a1"/>
    <w:uiPriority w:val="59"/>
    <w:rsid w:val="00A217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e"/>
    <w:uiPriority w:val="59"/>
    <w:rsid w:val="00244DE9"/>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7B5E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71E"/>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uiPriority w:val="99"/>
    <w:qFormat/>
    <w:rsid w:val="00AE471E"/>
    <w:rPr>
      <w:vertAlign w:val="superscript"/>
    </w:rPr>
  </w:style>
  <w:style w:type="paragraph" w:styleId="a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5"/>
    <w:uiPriority w:val="99"/>
    <w:qFormat/>
    <w:rsid w:val="00AE471E"/>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4"/>
    <w:uiPriority w:val="99"/>
    <w:qFormat/>
    <w:rsid w:val="00AE471E"/>
    <w:rPr>
      <w:rFonts w:ascii="Times New Roman" w:eastAsia="Times New Roman" w:hAnsi="Times New Roman" w:cs="Times New Roman"/>
      <w:sz w:val="20"/>
      <w:szCs w:val="20"/>
      <w:lang w:eastAsia="ru-RU"/>
    </w:rPr>
  </w:style>
  <w:style w:type="paragraph" w:styleId="a6">
    <w:name w:val="Body Text"/>
    <w:aliases w:val="Основной текст1,Основной текст Знак Знак,bt,body text,contents,Òàáëè÷íûé,Oaaee?iue,Табличный,BODY TEXT,t"/>
    <w:basedOn w:val="a"/>
    <w:link w:val="a7"/>
    <w:unhideWhenUsed/>
    <w:qFormat/>
    <w:rsid w:val="00AE471E"/>
    <w:pPr>
      <w:spacing w:after="120"/>
    </w:pPr>
  </w:style>
  <w:style w:type="character" w:customStyle="1" w:styleId="a7">
    <w:name w:val="Основной текст Знак"/>
    <w:aliases w:val="Основной текст1 Знак,Основной текст Знак Знак Знак,bt Знак,body text Знак,contents Знак,Òàáëè÷íûé Знак,Oaaee?iue Знак,Табличный Знак,BODY TEXT Знак,t Знак"/>
    <w:basedOn w:val="a0"/>
    <w:link w:val="a6"/>
    <w:rsid w:val="00AE471E"/>
    <w:rPr>
      <w:rFonts w:eastAsiaTheme="minorEastAsia"/>
      <w:lang w:eastAsia="ru-RU"/>
    </w:rPr>
  </w:style>
  <w:style w:type="paragraph" w:styleId="a8">
    <w:name w:val="Balloon Text"/>
    <w:basedOn w:val="a"/>
    <w:link w:val="a9"/>
    <w:uiPriority w:val="99"/>
    <w:semiHidden/>
    <w:unhideWhenUsed/>
    <w:rsid w:val="002E5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5152"/>
    <w:rPr>
      <w:rFonts w:ascii="Tahoma" w:eastAsiaTheme="minorEastAsia" w:hAnsi="Tahoma" w:cs="Tahoma"/>
      <w:sz w:val="16"/>
      <w:szCs w:val="16"/>
      <w:lang w:eastAsia="ru-RU"/>
    </w:rPr>
  </w:style>
  <w:style w:type="paragraph" w:styleId="aa">
    <w:name w:val="header"/>
    <w:basedOn w:val="a"/>
    <w:link w:val="ab"/>
    <w:uiPriority w:val="99"/>
    <w:unhideWhenUsed/>
    <w:rsid w:val="00415B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5B5A"/>
    <w:rPr>
      <w:rFonts w:eastAsiaTheme="minorEastAsia"/>
      <w:lang w:eastAsia="ru-RU"/>
    </w:rPr>
  </w:style>
  <w:style w:type="paragraph" w:styleId="ac">
    <w:name w:val="footer"/>
    <w:basedOn w:val="a"/>
    <w:link w:val="ad"/>
    <w:uiPriority w:val="99"/>
    <w:unhideWhenUsed/>
    <w:rsid w:val="00415B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5B5A"/>
    <w:rPr>
      <w:rFonts w:eastAsiaTheme="minorEastAsia"/>
      <w:lang w:eastAsia="ru-RU"/>
    </w:rPr>
  </w:style>
  <w:style w:type="table" w:styleId="ae">
    <w:name w:val="Table Grid"/>
    <w:basedOn w:val="a1"/>
    <w:uiPriority w:val="59"/>
    <w:rsid w:val="00A217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e"/>
    <w:uiPriority w:val="59"/>
    <w:rsid w:val="00244DE9"/>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7B5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AD6B3-0645-4624-A775-CD2A4184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8567</Words>
  <Characters>48836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Шепелева</dc:creator>
  <cp:lastModifiedBy>Шепелева</cp:lastModifiedBy>
  <cp:revision>16</cp:revision>
  <cp:lastPrinted>2021-05-11T10:04:00Z</cp:lastPrinted>
  <dcterms:created xsi:type="dcterms:W3CDTF">2022-04-05T15:00:00Z</dcterms:created>
  <dcterms:modified xsi:type="dcterms:W3CDTF">2022-04-11T16:15:00Z</dcterms:modified>
</cp:coreProperties>
</file>