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9AE" w:rsidRDefault="004729AE" w:rsidP="004729AE">
      <w:pPr>
        <w:ind w:left="6237"/>
        <w:jc w:val="center"/>
        <w:rPr>
          <w:sz w:val="24"/>
          <w:szCs w:val="24"/>
        </w:rPr>
      </w:pPr>
      <w:r>
        <w:rPr>
          <w:sz w:val="24"/>
          <w:szCs w:val="24"/>
        </w:rPr>
        <w:t>Приложение № </w:t>
      </w:r>
      <w:r w:rsidR="00DB17AB">
        <w:rPr>
          <w:sz w:val="24"/>
          <w:szCs w:val="24"/>
        </w:rPr>
        <w:t>2</w:t>
      </w:r>
    </w:p>
    <w:p w:rsidR="004729AE" w:rsidRDefault="004729AE" w:rsidP="004729AE">
      <w:pPr>
        <w:ind w:left="6237"/>
        <w:jc w:val="center"/>
        <w:rPr>
          <w:sz w:val="24"/>
          <w:szCs w:val="24"/>
        </w:rPr>
      </w:pPr>
      <w:r>
        <w:rPr>
          <w:sz w:val="24"/>
          <w:szCs w:val="24"/>
        </w:rPr>
        <w:t>к отчету о результатах</w:t>
      </w:r>
    </w:p>
    <w:p w:rsidR="004729AE" w:rsidRDefault="004729AE" w:rsidP="004729AE">
      <w:pPr>
        <w:ind w:left="6237"/>
        <w:jc w:val="center"/>
        <w:rPr>
          <w:sz w:val="24"/>
          <w:szCs w:val="24"/>
        </w:rPr>
      </w:pPr>
      <w:r>
        <w:rPr>
          <w:sz w:val="24"/>
          <w:szCs w:val="24"/>
        </w:rPr>
        <w:t>контрольного мероприятия</w:t>
      </w:r>
    </w:p>
    <w:p w:rsidR="004729AE" w:rsidRDefault="004729AE" w:rsidP="004729AE">
      <w:pPr>
        <w:ind w:left="6237"/>
        <w:jc w:val="center"/>
        <w:rPr>
          <w:sz w:val="24"/>
          <w:szCs w:val="24"/>
        </w:rPr>
      </w:pPr>
      <w:r>
        <w:rPr>
          <w:sz w:val="24"/>
          <w:szCs w:val="24"/>
        </w:rPr>
        <w:t>от «___» ___________ 202</w:t>
      </w:r>
      <w:r w:rsidR="00475A17">
        <w:rPr>
          <w:sz w:val="24"/>
          <w:szCs w:val="24"/>
        </w:rPr>
        <w:t>1</w:t>
      </w:r>
      <w:r>
        <w:rPr>
          <w:sz w:val="24"/>
          <w:szCs w:val="24"/>
        </w:rPr>
        <w:t xml:space="preserve"> г.</w:t>
      </w:r>
    </w:p>
    <w:p w:rsidR="004729AE" w:rsidRDefault="004729AE" w:rsidP="004729AE">
      <w:pPr>
        <w:pStyle w:val="2"/>
        <w:tabs>
          <w:tab w:val="left" w:pos="5694"/>
        </w:tabs>
        <w:ind w:left="6237" w:firstLine="0"/>
        <w:jc w:val="center"/>
        <w:rPr>
          <w:sz w:val="24"/>
          <w:szCs w:val="24"/>
        </w:rPr>
      </w:pPr>
      <w:bookmarkStart w:id="0" w:name="_GoBack"/>
      <w:bookmarkEnd w:id="0"/>
      <w:r>
        <w:rPr>
          <w:sz w:val="24"/>
          <w:szCs w:val="24"/>
        </w:rPr>
        <w:t>№ ОМ - ____________</w:t>
      </w:r>
    </w:p>
    <w:p w:rsidR="004729AE" w:rsidRDefault="004729AE"/>
    <w:p w:rsidR="004729AE" w:rsidRDefault="004729AE" w:rsidP="004729AE">
      <w:pPr>
        <w:ind w:left="-284"/>
        <w:jc w:val="center"/>
        <w:rPr>
          <w:b/>
          <w:sz w:val="28"/>
          <w:szCs w:val="28"/>
        </w:rPr>
      </w:pPr>
      <w:r w:rsidRPr="004729AE">
        <w:rPr>
          <w:b/>
          <w:sz w:val="28"/>
          <w:szCs w:val="28"/>
        </w:rPr>
        <w:t xml:space="preserve">Перечень </w:t>
      </w:r>
      <w:r w:rsidR="00980464">
        <w:rPr>
          <w:b/>
          <w:sz w:val="28"/>
          <w:szCs w:val="28"/>
        </w:rPr>
        <w:t>иных</w:t>
      </w:r>
      <w:r w:rsidRPr="004729AE">
        <w:rPr>
          <w:b/>
          <w:sz w:val="28"/>
          <w:szCs w:val="28"/>
        </w:rPr>
        <w:t xml:space="preserve"> нарушений</w:t>
      </w:r>
      <w:r w:rsidR="00980464">
        <w:rPr>
          <w:b/>
          <w:sz w:val="28"/>
          <w:szCs w:val="28"/>
        </w:rPr>
        <w:t xml:space="preserve"> и недостатков</w:t>
      </w:r>
      <w:r w:rsidRPr="004729AE">
        <w:rPr>
          <w:b/>
          <w:sz w:val="28"/>
          <w:szCs w:val="28"/>
        </w:rPr>
        <w:t xml:space="preserve"> на объектах контрольного мероприятия</w:t>
      </w:r>
    </w:p>
    <w:p w:rsidR="004729AE" w:rsidRPr="00D811A1" w:rsidRDefault="004729AE" w:rsidP="00F34312">
      <w:pPr>
        <w:ind w:left="-284" w:right="-1"/>
        <w:jc w:val="center"/>
        <w:rPr>
          <w:b/>
          <w:sz w:val="16"/>
          <w:szCs w:val="16"/>
        </w:rPr>
      </w:pPr>
    </w:p>
    <w:p w:rsidR="004729AE" w:rsidRDefault="00475A17" w:rsidP="003F4E5E">
      <w:pPr>
        <w:pStyle w:val="a3"/>
        <w:numPr>
          <w:ilvl w:val="0"/>
          <w:numId w:val="5"/>
        </w:numPr>
        <w:spacing w:line="360" w:lineRule="auto"/>
        <w:ind w:left="0" w:right="-1" w:firstLine="0"/>
        <w:jc w:val="center"/>
        <w:rPr>
          <w:b/>
          <w:sz w:val="28"/>
          <w:szCs w:val="28"/>
        </w:rPr>
      </w:pPr>
      <w:r w:rsidRPr="00475A17">
        <w:rPr>
          <w:b/>
          <w:sz w:val="28"/>
          <w:szCs w:val="28"/>
        </w:rPr>
        <w:t>Федеральная служба по регулированию алкогольного рынка</w:t>
      </w:r>
      <w:r w:rsidR="004729AE" w:rsidRPr="00475A17">
        <w:rPr>
          <w:b/>
          <w:sz w:val="28"/>
          <w:szCs w:val="28"/>
        </w:rPr>
        <w:t>:</w:t>
      </w:r>
    </w:p>
    <w:p w:rsidR="00AA3C48" w:rsidRPr="00AA3C48" w:rsidRDefault="00321A5D" w:rsidP="00321A5D">
      <w:pPr>
        <w:pStyle w:val="a3"/>
        <w:numPr>
          <w:ilvl w:val="0"/>
          <w:numId w:val="7"/>
        </w:numPr>
        <w:spacing w:line="360" w:lineRule="auto"/>
        <w:ind w:left="0" w:right="-1" w:firstLine="709"/>
        <w:jc w:val="both"/>
        <w:rPr>
          <w:kern w:val="36"/>
          <w:sz w:val="28"/>
          <w:szCs w:val="28"/>
        </w:rPr>
      </w:pPr>
      <w:proofErr w:type="gramStart"/>
      <w:r w:rsidRPr="00321A5D">
        <w:rPr>
          <w:kern w:val="36"/>
          <w:sz w:val="28"/>
          <w:szCs w:val="28"/>
        </w:rPr>
        <w:t>В нарушение пункта 27 Инструкции № 157н</w:t>
      </w:r>
      <w:r w:rsidR="00435DF9">
        <w:rPr>
          <w:rStyle w:val="a6"/>
          <w:kern w:val="36"/>
          <w:sz w:val="28"/>
          <w:szCs w:val="28"/>
        </w:rPr>
        <w:footnoteReference w:id="1"/>
      </w:r>
      <w:r w:rsidRPr="00321A5D">
        <w:rPr>
          <w:kern w:val="36"/>
          <w:sz w:val="28"/>
          <w:szCs w:val="28"/>
        </w:rPr>
        <w:t>, согласно которому затраты на модернизацию, дооборудование объекта нефинансового актива относятся на увеличение первоначальной (балансовой) стоимости такого объекта после окончания предусмотренных договором объемов работ и при условии улучшения (повышения) первоначально принятых нормативных показателей функционирования объекта нефинансовых активов (срока</w:t>
      </w:r>
      <w:proofErr w:type="gramEnd"/>
      <w:r w:rsidRPr="00321A5D">
        <w:rPr>
          <w:kern w:val="36"/>
          <w:sz w:val="28"/>
          <w:szCs w:val="28"/>
        </w:rPr>
        <w:t xml:space="preserve"> </w:t>
      </w:r>
      <w:proofErr w:type="gramStart"/>
      <w:r w:rsidRPr="00321A5D">
        <w:rPr>
          <w:kern w:val="36"/>
          <w:sz w:val="28"/>
          <w:szCs w:val="28"/>
        </w:rPr>
        <w:t>полезного использования, мощности, качества применения и т.п.) по результатам проведенных работ, Росалкогольрегулированием затраты на модернизацию (доработку) ЕГАИС  на сумму 362 000,0 тыс. рублей, ФГИС «База данных деклараций» на сумму 1 592,0 тыс. рублей и ФГИС «Паспорт» на сумму 10 599,2 тыс. рублей по результатам проведенных работ не отнесены в бухгалтерском учете на увеличение первоначальной (балансовой) стоимости указанных объектов нефинансовых</w:t>
      </w:r>
      <w:proofErr w:type="gramEnd"/>
      <w:r w:rsidRPr="00321A5D">
        <w:rPr>
          <w:kern w:val="36"/>
          <w:sz w:val="28"/>
          <w:szCs w:val="28"/>
        </w:rPr>
        <w:t xml:space="preserve"> активов.</w:t>
      </w:r>
    </w:p>
    <w:p w:rsidR="00321A5D" w:rsidRPr="00321A5D" w:rsidRDefault="00321A5D" w:rsidP="00321A5D">
      <w:pPr>
        <w:pStyle w:val="a3"/>
        <w:numPr>
          <w:ilvl w:val="0"/>
          <w:numId w:val="7"/>
        </w:numPr>
        <w:spacing w:line="360" w:lineRule="auto"/>
        <w:ind w:left="0" w:firstLine="709"/>
        <w:jc w:val="both"/>
        <w:rPr>
          <w:kern w:val="36"/>
          <w:sz w:val="28"/>
          <w:szCs w:val="28"/>
        </w:rPr>
      </w:pPr>
      <w:proofErr w:type="gramStart"/>
      <w:r w:rsidRPr="00321A5D">
        <w:rPr>
          <w:kern w:val="36"/>
          <w:sz w:val="28"/>
          <w:szCs w:val="28"/>
        </w:rPr>
        <w:t xml:space="preserve">В нарушение пункта 55 Административного регламента предоставления Федеральной службой по регулированию алкогольного рынка государственной услуги по лицензированию производства и оборота этилового спирта, алкогольной (за исключением розничной продажи) и спиртосодержащей продукции, утвержденного приказом Росалкогольрегулирования от 27 декабря 2013 г. № 335  (далее – Административный регламент № 335), согласно которому ответственный специалист Службы не позднее 6 дней со дня регистрации заявления о </w:t>
      </w:r>
      <w:r w:rsidRPr="00321A5D">
        <w:rPr>
          <w:kern w:val="36"/>
          <w:sz w:val="28"/>
          <w:szCs w:val="28"/>
        </w:rPr>
        <w:lastRenderedPageBreak/>
        <w:t>переоформлении лицензии проверяет</w:t>
      </w:r>
      <w:proofErr w:type="gramEnd"/>
      <w:r w:rsidRPr="00321A5D">
        <w:rPr>
          <w:kern w:val="36"/>
          <w:sz w:val="28"/>
          <w:szCs w:val="28"/>
        </w:rPr>
        <w:t xml:space="preserve"> </w:t>
      </w:r>
      <w:proofErr w:type="gramStart"/>
      <w:r w:rsidRPr="00321A5D">
        <w:rPr>
          <w:kern w:val="36"/>
          <w:sz w:val="28"/>
          <w:szCs w:val="28"/>
        </w:rPr>
        <w:t>документы, представленные заявителем на наличие оснований  для отказа в предоставлении государственной услуги, а также направляет межведомственные запросы по каналам системы межведомственного электронного взаимодействия (далее - СМЭВ), ответственным специалистом центрального аппарата Росалкогольрегулирования по заявлению на переоформление лицензии от 20 декабря 2017 года не обеспечено направление межведомственного запроса по каналам СМЭВ в МЧС России в целях подтверждения сведений об адресе места нахождения обособленного</w:t>
      </w:r>
      <w:proofErr w:type="gramEnd"/>
      <w:r w:rsidRPr="00321A5D">
        <w:rPr>
          <w:kern w:val="36"/>
          <w:sz w:val="28"/>
          <w:szCs w:val="28"/>
        </w:rPr>
        <w:t xml:space="preserve"> подразделения, содержащихся в представленном заявителем заключении МЧС России</w:t>
      </w:r>
      <w:proofErr w:type="gramStart"/>
      <w:r w:rsidRPr="00321A5D">
        <w:rPr>
          <w:kern w:val="36"/>
          <w:sz w:val="28"/>
          <w:szCs w:val="28"/>
        </w:rPr>
        <w:t xml:space="preserve"> ,</w:t>
      </w:r>
      <w:proofErr w:type="gramEnd"/>
      <w:r w:rsidRPr="00321A5D">
        <w:rPr>
          <w:kern w:val="36"/>
          <w:sz w:val="28"/>
          <w:szCs w:val="28"/>
        </w:rPr>
        <w:t xml:space="preserve"> сведениям, содержащимся в выписке из ЕГРН от 16 января 2018 года, и принято решение об отказе в переоформлении лицензии от 19 января 2018 г. № 0028-опт по причине несоответствия данных в представленных документах .</w:t>
      </w:r>
    </w:p>
    <w:p w:rsidR="00321A5D" w:rsidRPr="00321A5D" w:rsidRDefault="00321A5D" w:rsidP="00321A5D">
      <w:pPr>
        <w:spacing w:line="360" w:lineRule="auto"/>
        <w:ind w:firstLine="644"/>
        <w:jc w:val="both"/>
        <w:rPr>
          <w:kern w:val="36"/>
          <w:sz w:val="28"/>
          <w:szCs w:val="28"/>
        </w:rPr>
      </w:pPr>
      <w:r w:rsidRPr="00321A5D">
        <w:rPr>
          <w:kern w:val="36"/>
          <w:sz w:val="28"/>
          <w:szCs w:val="28"/>
        </w:rPr>
        <w:t xml:space="preserve">Впоследствии после получения от МЧС России подтверждения действительности выданного ранее заключения (письмо заявителя в МЧС России от 24 января 2018 года) заявитель был вынужден повторно обратиться в Росалкогольрегулирование с заявлением о переоформлении лицензии в связи с изменением указанного в лицензии места нахождения обособленного подразделения. </w:t>
      </w:r>
    </w:p>
    <w:p w:rsidR="00321A5D" w:rsidRPr="00321A5D" w:rsidRDefault="00321A5D" w:rsidP="00907E3D">
      <w:pPr>
        <w:pStyle w:val="a3"/>
        <w:numPr>
          <w:ilvl w:val="0"/>
          <w:numId w:val="7"/>
        </w:numPr>
        <w:spacing w:line="360" w:lineRule="auto"/>
        <w:ind w:left="0" w:firstLine="709"/>
        <w:jc w:val="both"/>
        <w:rPr>
          <w:kern w:val="36"/>
          <w:sz w:val="28"/>
          <w:szCs w:val="28"/>
        </w:rPr>
      </w:pPr>
      <w:proofErr w:type="gramStart"/>
      <w:r w:rsidRPr="00321A5D">
        <w:rPr>
          <w:kern w:val="36"/>
          <w:sz w:val="28"/>
          <w:szCs w:val="28"/>
        </w:rPr>
        <w:t>В нарушение пункта 7 статьи 19 Федерального закона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 171-ФЗ), согласно которому решение о выдаче лицензии на производство и оборот этилового спирта, алкогольной и спиртосодержащей продукции или об отказе в ее выдаче принимается</w:t>
      </w:r>
      <w:proofErr w:type="gramEnd"/>
      <w:r w:rsidRPr="00321A5D">
        <w:rPr>
          <w:kern w:val="36"/>
          <w:sz w:val="28"/>
          <w:szCs w:val="28"/>
        </w:rPr>
        <w:t xml:space="preserve"> </w:t>
      </w:r>
      <w:proofErr w:type="gramStart"/>
      <w:r w:rsidRPr="00321A5D">
        <w:rPr>
          <w:kern w:val="36"/>
          <w:sz w:val="28"/>
          <w:szCs w:val="28"/>
        </w:rPr>
        <w:t xml:space="preserve">в течение 30 дней со дня получения от заявителя документов, представляемых для получения соответствующей лицензии, а в случае необходимости проведения дополнительной экспертизы указанный срок продлевается на период ее проведения, но не более чем на 30 дней, Службой срок проведения проверки в </w:t>
      </w:r>
      <w:r w:rsidRPr="00321A5D">
        <w:rPr>
          <w:kern w:val="36"/>
          <w:sz w:val="28"/>
          <w:szCs w:val="28"/>
        </w:rPr>
        <w:lastRenderedPageBreak/>
        <w:t>ряде случаев был продлен в отсутствие необходимости проведения дополнительной экспертизы.</w:t>
      </w:r>
      <w:proofErr w:type="gramEnd"/>
    </w:p>
    <w:p w:rsidR="00321A5D" w:rsidRPr="00321A5D" w:rsidRDefault="00321A5D" w:rsidP="00907E3D">
      <w:pPr>
        <w:spacing w:line="360" w:lineRule="auto"/>
        <w:ind w:firstLine="709"/>
        <w:jc w:val="both"/>
        <w:rPr>
          <w:kern w:val="36"/>
          <w:sz w:val="28"/>
          <w:szCs w:val="28"/>
        </w:rPr>
      </w:pPr>
      <w:r w:rsidRPr="00321A5D">
        <w:rPr>
          <w:kern w:val="36"/>
          <w:sz w:val="28"/>
          <w:szCs w:val="28"/>
        </w:rPr>
        <w:t xml:space="preserve">Так, по заявлению от 21 января 2020 г. № Л-59 о выдаче лицензии на основании поручения Службы от 29 января 2020 года территориальным органом 14 февраля 2020 года проведена внеплановая выездная проверка на соответствие деятельности заявителя лицензионным требованиям, </w:t>
      </w:r>
      <w:proofErr w:type="gramStart"/>
      <w:r w:rsidRPr="00321A5D">
        <w:rPr>
          <w:kern w:val="36"/>
          <w:sz w:val="28"/>
          <w:szCs w:val="28"/>
        </w:rPr>
        <w:t>по</w:t>
      </w:r>
      <w:proofErr w:type="gramEnd"/>
      <w:r w:rsidRPr="00321A5D">
        <w:rPr>
          <w:kern w:val="36"/>
          <w:sz w:val="28"/>
          <w:szCs w:val="28"/>
        </w:rPr>
        <w:t xml:space="preserve"> </w:t>
      </w:r>
      <w:proofErr w:type="gramStart"/>
      <w:r w:rsidRPr="00321A5D">
        <w:rPr>
          <w:kern w:val="36"/>
          <w:sz w:val="28"/>
          <w:szCs w:val="28"/>
        </w:rPr>
        <w:t>результатом</w:t>
      </w:r>
      <w:proofErr w:type="gramEnd"/>
      <w:r w:rsidRPr="00321A5D">
        <w:rPr>
          <w:kern w:val="36"/>
          <w:sz w:val="28"/>
          <w:szCs w:val="28"/>
        </w:rPr>
        <w:t xml:space="preserve"> которой нарушения не установлены. </w:t>
      </w:r>
      <w:proofErr w:type="gramStart"/>
      <w:r w:rsidRPr="00321A5D">
        <w:rPr>
          <w:kern w:val="36"/>
          <w:sz w:val="28"/>
          <w:szCs w:val="28"/>
        </w:rPr>
        <w:t>Росалкогольрегулированием 18 февраля 2020 года территориальному органу выдано поручение на проведение дополнительной выездной проверки, в котором поставлен вопрос о проверке применяемого заявителем способа утилизации конденсата пара из выпарной установки, однако результаты проверки  указанной информации не содержали (дополнение к акту проверки от 14 февраля 2020 года) и в дальнейшем Службой у территориального органа не запрашивались, при этом на основании указанного поручения</w:t>
      </w:r>
      <w:proofErr w:type="gramEnd"/>
      <w:r w:rsidRPr="00321A5D">
        <w:rPr>
          <w:kern w:val="36"/>
          <w:sz w:val="28"/>
          <w:szCs w:val="28"/>
        </w:rPr>
        <w:t xml:space="preserve"> срок рассмотрения заявления продлен на 30 дней. </w:t>
      </w:r>
    </w:p>
    <w:p w:rsidR="00435DF9" w:rsidRDefault="00321A5D" w:rsidP="00321A5D">
      <w:pPr>
        <w:spacing w:line="360" w:lineRule="auto"/>
        <w:ind w:firstLine="644"/>
        <w:jc w:val="both"/>
        <w:rPr>
          <w:kern w:val="36"/>
          <w:sz w:val="28"/>
          <w:szCs w:val="28"/>
        </w:rPr>
      </w:pPr>
      <w:r w:rsidRPr="00321A5D">
        <w:rPr>
          <w:kern w:val="36"/>
          <w:sz w:val="28"/>
          <w:szCs w:val="28"/>
        </w:rPr>
        <w:t xml:space="preserve">По заявлению от 22 января 2019 г. № Л-63 о выдаче лицензии на основании поручения Службы от 29 января 2019 года территориальным органом проведена внеплановая выездная проверка на соответствие деятельности заявителя лицензионным требованиям (акт проверки от 12 февраля 2019 года). При этом 20 февраля 2019 года Росалкогольрегулированием срок рассмотрения заявления был продлен дополнительно на 30 дней в связи с непредставлением территориальным органом копий приложений к акту проверки. </w:t>
      </w:r>
    </w:p>
    <w:p w:rsidR="000652FE" w:rsidRDefault="000652FE" w:rsidP="00321A5D">
      <w:pPr>
        <w:spacing w:line="360" w:lineRule="auto"/>
        <w:ind w:firstLine="644"/>
        <w:jc w:val="both"/>
        <w:rPr>
          <w:kern w:val="36"/>
          <w:sz w:val="28"/>
          <w:szCs w:val="28"/>
        </w:rPr>
      </w:pPr>
      <w:r>
        <w:rPr>
          <w:kern w:val="36"/>
          <w:sz w:val="28"/>
          <w:szCs w:val="28"/>
        </w:rPr>
        <w:t xml:space="preserve">4. </w:t>
      </w:r>
      <w:proofErr w:type="gramStart"/>
      <w:r w:rsidRPr="000652FE">
        <w:rPr>
          <w:kern w:val="36"/>
          <w:sz w:val="28"/>
          <w:szCs w:val="28"/>
        </w:rPr>
        <w:t xml:space="preserve">Росалкогольрегулированием в поручениях территориальным органам о проведении внеплановой выездной проверки на соответствие деятельности заявителя  лицензионным требованиям и условиям указывалось на необходимость отражения в акте о результатах проверки информации о наличии документов, представляемых заявителем вместе с соответствующим заявлением в Службу, а не о сведениях, содержащихся в таких документах, как это предусмотрено пунктом 4 статьи 23.2 Федерального закона № 171-ФЗ и </w:t>
      </w:r>
      <w:r w:rsidRPr="000652FE">
        <w:rPr>
          <w:kern w:val="36"/>
          <w:sz w:val="28"/>
          <w:szCs w:val="28"/>
        </w:rPr>
        <w:lastRenderedPageBreak/>
        <w:t>пунктом 98</w:t>
      </w:r>
      <w:proofErr w:type="gramEnd"/>
      <w:r w:rsidRPr="000652FE">
        <w:rPr>
          <w:kern w:val="36"/>
          <w:sz w:val="28"/>
          <w:szCs w:val="28"/>
        </w:rPr>
        <w:t xml:space="preserve"> </w:t>
      </w:r>
      <w:proofErr w:type="gramStart"/>
      <w:r w:rsidRPr="000652FE">
        <w:rPr>
          <w:kern w:val="36"/>
          <w:sz w:val="28"/>
          <w:szCs w:val="28"/>
        </w:rPr>
        <w:t>Административного регламента № 199</w:t>
      </w:r>
      <w:r>
        <w:rPr>
          <w:rStyle w:val="a6"/>
          <w:kern w:val="36"/>
          <w:sz w:val="28"/>
          <w:szCs w:val="28"/>
        </w:rPr>
        <w:footnoteReference w:id="2"/>
      </w:r>
      <w:r w:rsidRPr="000652FE">
        <w:rPr>
          <w:kern w:val="36"/>
          <w:sz w:val="28"/>
          <w:szCs w:val="28"/>
        </w:rPr>
        <w:t>, согласно которым предметом документарной и (или) внеплановой выездной проверки соискателя лицензии или лицензиата являются сведения, содержащиеся в представленных заявлении и документах, в целях оценки соответствия таких сведений лицензионным требованиям.</w:t>
      </w:r>
      <w:proofErr w:type="gramEnd"/>
    </w:p>
    <w:p w:rsidR="000652FE" w:rsidRDefault="000652FE" w:rsidP="00321A5D">
      <w:pPr>
        <w:spacing w:line="360" w:lineRule="auto"/>
        <w:ind w:firstLine="644"/>
        <w:jc w:val="both"/>
        <w:rPr>
          <w:kern w:val="36"/>
          <w:sz w:val="28"/>
          <w:szCs w:val="28"/>
        </w:rPr>
      </w:pPr>
      <w:r>
        <w:rPr>
          <w:kern w:val="36"/>
          <w:sz w:val="28"/>
          <w:szCs w:val="28"/>
        </w:rPr>
        <w:t>5.</w:t>
      </w:r>
      <w:r w:rsidRPr="000652FE">
        <w:rPr>
          <w:kern w:val="36"/>
          <w:sz w:val="28"/>
          <w:szCs w:val="28"/>
        </w:rPr>
        <w:tab/>
      </w:r>
      <w:proofErr w:type="gramStart"/>
      <w:r w:rsidRPr="000652FE">
        <w:rPr>
          <w:kern w:val="36"/>
          <w:sz w:val="28"/>
          <w:szCs w:val="28"/>
        </w:rPr>
        <w:t>Размещенные на официальном сайте Службы планы проведения плановых проверок юридических лиц и индивидуальных предпринимателей на 2018, 2019, 2020 и 2021 годы не содержат информации об их утверждении руководителем Росалкогольрегулирования, что не соответствует части 5 статьи 9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0652FE">
        <w:rPr>
          <w:kern w:val="36"/>
          <w:sz w:val="28"/>
          <w:szCs w:val="28"/>
        </w:rPr>
        <w:t>», согласно которому  утвержденный руководителем органа государственного контроля (надзора)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в сети «Интернет».</w:t>
      </w:r>
    </w:p>
    <w:p w:rsidR="000301D8" w:rsidRPr="00F54E57" w:rsidRDefault="000652FE" w:rsidP="003F4E5E">
      <w:pPr>
        <w:spacing w:line="360" w:lineRule="auto"/>
        <w:ind w:right="-1"/>
        <w:jc w:val="center"/>
        <w:rPr>
          <w:b/>
          <w:sz w:val="28"/>
          <w:szCs w:val="28"/>
        </w:rPr>
      </w:pPr>
      <w:r>
        <w:rPr>
          <w:b/>
          <w:bCs/>
          <w:sz w:val="28"/>
          <w:szCs w:val="28"/>
        </w:rPr>
        <w:t xml:space="preserve">2. </w:t>
      </w:r>
      <w:r w:rsidR="00D65123" w:rsidRPr="00F54E57">
        <w:rPr>
          <w:b/>
          <w:bCs/>
          <w:sz w:val="28"/>
          <w:szCs w:val="28"/>
        </w:rPr>
        <w:t>Межрегиональное управление Росалкогольрегулирования по Центральному федеральному округу</w:t>
      </w:r>
    </w:p>
    <w:p w:rsidR="00D65123" w:rsidRPr="00D811A1" w:rsidRDefault="00D65123" w:rsidP="00D811A1">
      <w:pPr>
        <w:tabs>
          <w:tab w:val="left" w:pos="1108"/>
        </w:tabs>
        <w:spacing w:line="360" w:lineRule="auto"/>
        <w:ind w:right="-1" w:firstLine="709"/>
        <w:jc w:val="both"/>
        <w:rPr>
          <w:bCs/>
          <w:sz w:val="28"/>
          <w:szCs w:val="28"/>
        </w:rPr>
      </w:pPr>
      <w:r w:rsidRPr="00D811A1">
        <w:rPr>
          <w:bCs/>
          <w:sz w:val="28"/>
          <w:szCs w:val="28"/>
        </w:rPr>
        <w:t xml:space="preserve">2.1. </w:t>
      </w:r>
      <w:proofErr w:type="gramStart"/>
      <w:r w:rsidR="00670D2D" w:rsidRPr="00D811A1">
        <w:rPr>
          <w:bCs/>
          <w:sz w:val="28"/>
          <w:szCs w:val="28"/>
        </w:rPr>
        <w:t xml:space="preserve">В нарушение пункта 3 статьи 11 Федерального закона от 6 декабря 2011 г. № 402-ФЗ «О бухгалтерском учете», пунктов 80 и 81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Минфина России </w:t>
      </w:r>
      <w:r w:rsidR="00670D2D" w:rsidRPr="00D811A1">
        <w:rPr>
          <w:bCs/>
          <w:sz w:val="28"/>
          <w:szCs w:val="28"/>
        </w:rPr>
        <w:br/>
        <w:t>от 31 декабря 2016 г. № 256н, согласно которым проведение инвентаризации обязательно при смене материально ответственных лиц (на день</w:t>
      </w:r>
      <w:proofErr w:type="gramEnd"/>
      <w:r w:rsidR="00670D2D" w:rsidRPr="00D811A1">
        <w:rPr>
          <w:bCs/>
          <w:sz w:val="28"/>
          <w:szCs w:val="28"/>
        </w:rPr>
        <w:t xml:space="preserve"> </w:t>
      </w:r>
      <w:proofErr w:type="gramStart"/>
      <w:r w:rsidR="00670D2D" w:rsidRPr="00D811A1">
        <w:rPr>
          <w:bCs/>
          <w:sz w:val="28"/>
          <w:szCs w:val="28"/>
        </w:rPr>
        <w:t xml:space="preserve">приемки-передачи дел), Управлением в срок – 14 августа 2020 года, установленный </w:t>
      </w:r>
      <w:r w:rsidR="00670D2D" w:rsidRPr="00D811A1">
        <w:rPr>
          <w:bCs/>
          <w:sz w:val="28"/>
          <w:szCs w:val="28"/>
        </w:rPr>
        <w:lastRenderedPageBreak/>
        <w:t>приказом Управления от 20 апреля 2020 г. № 1-422 (в редакции от 29 июля 2020 года), не завершена инвентаризация при смене материально ответственного лица.</w:t>
      </w:r>
      <w:proofErr w:type="gramEnd"/>
    </w:p>
    <w:p w:rsidR="00670D2D" w:rsidRPr="00D811A1" w:rsidRDefault="00D65123" w:rsidP="00D811A1">
      <w:pPr>
        <w:tabs>
          <w:tab w:val="left" w:pos="1108"/>
        </w:tabs>
        <w:spacing w:line="360" w:lineRule="auto"/>
        <w:ind w:right="-1" w:firstLine="709"/>
        <w:jc w:val="both"/>
        <w:rPr>
          <w:bCs/>
          <w:sz w:val="28"/>
          <w:szCs w:val="28"/>
        </w:rPr>
      </w:pPr>
      <w:r w:rsidRPr="00D811A1">
        <w:rPr>
          <w:bCs/>
          <w:sz w:val="28"/>
          <w:szCs w:val="28"/>
        </w:rPr>
        <w:t xml:space="preserve">2.2. </w:t>
      </w:r>
      <w:r w:rsidR="004831A0" w:rsidRPr="004831A0">
        <w:rPr>
          <w:bCs/>
          <w:sz w:val="28"/>
          <w:szCs w:val="28"/>
        </w:rPr>
        <w:t xml:space="preserve">В нарушение пунктов 337 и 338 </w:t>
      </w:r>
      <w:r w:rsidR="000652FE" w:rsidRPr="004831A0">
        <w:rPr>
          <w:bCs/>
          <w:sz w:val="28"/>
          <w:szCs w:val="28"/>
        </w:rPr>
        <w:t>Инструкци</w:t>
      </w:r>
      <w:r w:rsidR="000652FE">
        <w:rPr>
          <w:bCs/>
          <w:sz w:val="28"/>
          <w:szCs w:val="28"/>
        </w:rPr>
        <w:t>и</w:t>
      </w:r>
      <w:r w:rsidR="000652FE" w:rsidRPr="004831A0">
        <w:rPr>
          <w:bCs/>
          <w:sz w:val="28"/>
          <w:szCs w:val="28"/>
        </w:rPr>
        <w:t xml:space="preserve"> </w:t>
      </w:r>
      <w:r w:rsidR="004831A0" w:rsidRPr="004831A0">
        <w:rPr>
          <w:bCs/>
          <w:sz w:val="28"/>
          <w:szCs w:val="28"/>
        </w:rPr>
        <w:t xml:space="preserve">№ 157н, Управлением в 2020 году по </w:t>
      </w:r>
      <w:proofErr w:type="spellStart"/>
      <w:r w:rsidR="004831A0" w:rsidRPr="004831A0">
        <w:rPr>
          <w:bCs/>
          <w:sz w:val="28"/>
          <w:szCs w:val="28"/>
        </w:rPr>
        <w:t>забалансовому</w:t>
      </w:r>
      <w:proofErr w:type="spellEnd"/>
      <w:r w:rsidR="004831A0" w:rsidRPr="004831A0">
        <w:rPr>
          <w:bCs/>
          <w:sz w:val="28"/>
          <w:szCs w:val="28"/>
        </w:rPr>
        <w:t xml:space="preserve"> счету 03 «Бланки строгой отчетности» в ряде случаев бланки строгой отчетности отражались в отсутствие оправдательных учетных документов, аналитический учет по указанному счету в Книге по учету бланков строгой отчетности в установленном порядке не велся.</w:t>
      </w:r>
    </w:p>
    <w:p w:rsidR="00670D2D" w:rsidRPr="00D811A1" w:rsidRDefault="00670D2D" w:rsidP="00D811A1">
      <w:pPr>
        <w:tabs>
          <w:tab w:val="left" w:pos="1108"/>
        </w:tabs>
        <w:spacing w:line="360" w:lineRule="auto"/>
        <w:ind w:right="-1" w:firstLine="709"/>
        <w:jc w:val="both"/>
        <w:rPr>
          <w:bCs/>
          <w:sz w:val="28"/>
          <w:szCs w:val="28"/>
        </w:rPr>
      </w:pPr>
      <w:r w:rsidRPr="00D811A1">
        <w:rPr>
          <w:bCs/>
          <w:sz w:val="28"/>
          <w:szCs w:val="28"/>
        </w:rPr>
        <w:t>Вследствие чего, по состоянию на 15 декабря 2020 года данные Управления об остатках бланков строгой отчетности (голографических наклеек (пломб)) не соответствуют данным бухгалтерского учета и составляют 3 483 и 3 705 голографических наклеек (пломб) соответственно.</w:t>
      </w:r>
    </w:p>
    <w:p w:rsidR="00D811A1" w:rsidRPr="00D811A1" w:rsidRDefault="00D65123" w:rsidP="00D811A1">
      <w:pPr>
        <w:tabs>
          <w:tab w:val="left" w:pos="1108"/>
        </w:tabs>
        <w:spacing w:line="360" w:lineRule="auto"/>
        <w:ind w:right="-1" w:firstLine="709"/>
        <w:jc w:val="both"/>
        <w:rPr>
          <w:sz w:val="28"/>
          <w:szCs w:val="28"/>
        </w:rPr>
      </w:pPr>
      <w:r>
        <w:rPr>
          <w:bCs/>
          <w:sz w:val="28"/>
          <w:szCs w:val="28"/>
        </w:rPr>
        <w:t>2.</w:t>
      </w:r>
      <w:r w:rsidRPr="00D65123">
        <w:rPr>
          <w:bCs/>
          <w:sz w:val="28"/>
          <w:szCs w:val="28"/>
        </w:rPr>
        <w:t xml:space="preserve">3. </w:t>
      </w:r>
      <w:proofErr w:type="gramStart"/>
      <w:r w:rsidR="00D811A1" w:rsidRPr="00D811A1">
        <w:rPr>
          <w:sz w:val="28"/>
          <w:szCs w:val="28"/>
        </w:rPr>
        <w:t>В нарушение пункта 6.3 Порядка осуществления территориальными органами Росалкогольрегулирования полномочий администратора доходов федерального бюджета (приложение № 2 к приказу Росалкогольрегулирования от 30 июня 2017 г. № 211 «Об осуществлении полномочий администратора доходов федерального бюджета центральным аппаратом и территориальными органами Федеральной службы по регулированию алкогольного рынка»), согласно которому территориальный орган Росалкогольрегулирования в течение десяти рабочих дней с момента получения заявления плательщика о возврате</w:t>
      </w:r>
      <w:proofErr w:type="gramEnd"/>
      <w:r w:rsidR="00D811A1" w:rsidRPr="00D811A1">
        <w:rPr>
          <w:sz w:val="28"/>
          <w:szCs w:val="28"/>
        </w:rPr>
        <w:t xml:space="preserve"> (</w:t>
      </w:r>
      <w:proofErr w:type="gramStart"/>
      <w:r w:rsidR="00D811A1" w:rsidRPr="00D811A1">
        <w:rPr>
          <w:sz w:val="28"/>
          <w:szCs w:val="28"/>
        </w:rPr>
        <w:t>зачете) излишне уплаченного (взысканного) платежа готовит решение о возврате (об отказе в возврате), зачете (об отказе в зачете) излишне уплаченного (взысканного) платежа в бюджет, Управлением решения о возврате излишне уплаченного (взысканного) платежа подготавливались с нарушением установленного срока:</w:t>
      </w:r>
      <w:proofErr w:type="gramEnd"/>
    </w:p>
    <w:p w:rsidR="00D811A1" w:rsidRPr="00D811A1" w:rsidRDefault="00D811A1" w:rsidP="00D811A1">
      <w:pPr>
        <w:tabs>
          <w:tab w:val="left" w:pos="1108"/>
        </w:tabs>
        <w:overflowPunct w:val="0"/>
        <w:autoSpaceDE w:val="0"/>
        <w:autoSpaceDN w:val="0"/>
        <w:adjustRightInd w:val="0"/>
        <w:spacing w:line="360" w:lineRule="auto"/>
        <w:ind w:right="-1" w:firstLine="709"/>
        <w:jc w:val="both"/>
        <w:textAlignment w:val="baseline"/>
        <w:rPr>
          <w:sz w:val="28"/>
          <w:szCs w:val="28"/>
        </w:rPr>
      </w:pPr>
      <w:r w:rsidRPr="00D811A1">
        <w:rPr>
          <w:sz w:val="28"/>
          <w:szCs w:val="28"/>
        </w:rPr>
        <w:t xml:space="preserve">по заявлению от 12 марта 2020 года на возврат переплаты в размере 10,0 тыс. рублей решение о возврате принято 16 июля 2020 года; </w:t>
      </w:r>
    </w:p>
    <w:p w:rsidR="00D811A1" w:rsidRPr="00D811A1" w:rsidRDefault="00D811A1" w:rsidP="00D811A1">
      <w:pPr>
        <w:tabs>
          <w:tab w:val="left" w:pos="1108"/>
        </w:tabs>
        <w:overflowPunct w:val="0"/>
        <w:autoSpaceDE w:val="0"/>
        <w:autoSpaceDN w:val="0"/>
        <w:adjustRightInd w:val="0"/>
        <w:spacing w:line="360" w:lineRule="auto"/>
        <w:ind w:right="-1" w:firstLine="709"/>
        <w:jc w:val="both"/>
        <w:textAlignment w:val="baseline"/>
        <w:rPr>
          <w:sz w:val="28"/>
          <w:szCs w:val="28"/>
        </w:rPr>
      </w:pPr>
      <w:r w:rsidRPr="00D811A1">
        <w:rPr>
          <w:sz w:val="28"/>
          <w:szCs w:val="28"/>
        </w:rPr>
        <w:t xml:space="preserve">по заявлению от 4 марта 2020 года на возврат переплаты в размере 50,0 тыс. рублей решение о возврате принято 15 апреля 2020 года; </w:t>
      </w:r>
    </w:p>
    <w:p w:rsidR="00D811A1" w:rsidRPr="00D811A1" w:rsidRDefault="00D811A1" w:rsidP="00D811A1">
      <w:pPr>
        <w:tabs>
          <w:tab w:val="left" w:pos="1108"/>
        </w:tabs>
        <w:overflowPunct w:val="0"/>
        <w:autoSpaceDE w:val="0"/>
        <w:autoSpaceDN w:val="0"/>
        <w:adjustRightInd w:val="0"/>
        <w:spacing w:line="360" w:lineRule="auto"/>
        <w:ind w:right="-1" w:firstLine="709"/>
        <w:jc w:val="both"/>
        <w:textAlignment w:val="baseline"/>
        <w:rPr>
          <w:sz w:val="28"/>
          <w:szCs w:val="28"/>
        </w:rPr>
      </w:pPr>
      <w:r w:rsidRPr="00D811A1">
        <w:rPr>
          <w:sz w:val="28"/>
          <w:szCs w:val="28"/>
        </w:rPr>
        <w:lastRenderedPageBreak/>
        <w:t xml:space="preserve">по заявлению от 26 марта 2020 года на возврат переплаты в размере 5,0 тыс. рублей решение о возврате принято 15 апреля 2020 года; </w:t>
      </w:r>
    </w:p>
    <w:p w:rsidR="00D811A1" w:rsidRPr="00D811A1" w:rsidRDefault="00D811A1" w:rsidP="00D811A1">
      <w:pPr>
        <w:tabs>
          <w:tab w:val="left" w:pos="1108"/>
        </w:tabs>
        <w:overflowPunct w:val="0"/>
        <w:autoSpaceDE w:val="0"/>
        <w:autoSpaceDN w:val="0"/>
        <w:adjustRightInd w:val="0"/>
        <w:spacing w:line="360" w:lineRule="auto"/>
        <w:ind w:right="-1" w:firstLine="709"/>
        <w:jc w:val="both"/>
        <w:textAlignment w:val="baseline"/>
        <w:rPr>
          <w:sz w:val="28"/>
          <w:szCs w:val="28"/>
        </w:rPr>
      </w:pPr>
      <w:r w:rsidRPr="00D811A1">
        <w:rPr>
          <w:sz w:val="28"/>
          <w:szCs w:val="28"/>
        </w:rPr>
        <w:t xml:space="preserve">по заявлению от 3 марта 2020 года на возврат переплаты 10,0 тыс. рублей решение о возврате принято 15 апреля 2020 года; </w:t>
      </w:r>
    </w:p>
    <w:p w:rsidR="00D811A1" w:rsidRPr="00D811A1" w:rsidRDefault="00D811A1" w:rsidP="00D811A1">
      <w:pPr>
        <w:tabs>
          <w:tab w:val="left" w:pos="1108"/>
        </w:tabs>
        <w:overflowPunct w:val="0"/>
        <w:autoSpaceDE w:val="0"/>
        <w:autoSpaceDN w:val="0"/>
        <w:adjustRightInd w:val="0"/>
        <w:spacing w:line="360" w:lineRule="auto"/>
        <w:ind w:right="-1" w:firstLine="709"/>
        <w:jc w:val="both"/>
        <w:textAlignment w:val="baseline"/>
        <w:rPr>
          <w:sz w:val="28"/>
          <w:szCs w:val="28"/>
        </w:rPr>
      </w:pPr>
      <w:r w:rsidRPr="00D811A1">
        <w:rPr>
          <w:sz w:val="28"/>
          <w:szCs w:val="28"/>
        </w:rPr>
        <w:t xml:space="preserve">по заявлению от 7 октября 2020 года на возврат переплаты 80,0 тыс. рублей решение о возврате принято 23 ноября 2020 года; </w:t>
      </w:r>
    </w:p>
    <w:p w:rsidR="00D811A1" w:rsidRPr="00D65123" w:rsidRDefault="00D811A1" w:rsidP="00D811A1">
      <w:pPr>
        <w:tabs>
          <w:tab w:val="left" w:pos="1108"/>
        </w:tabs>
        <w:spacing w:line="360" w:lineRule="auto"/>
        <w:ind w:right="-1" w:firstLine="709"/>
        <w:jc w:val="both"/>
        <w:rPr>
          <w:sz w:val="28"/>
          <w:szCs w:val="28"/>
        </w:rPr>
      </w:pPr>
      <w:r w:rsidRPr="00D811A1">
        <w:rPr>
          <w:sz w:val="28"/>
          <w:szCs w:val="28"/>
        </w:rPr>
        <w:t>по заявлению от 14 мая 2020 года на возврат переплаты 10,0 тыс. рублей решение о возврате принято 11 июня 2020 года.</w:t>
      </w:r>
    </w:p>
    <w:p w:rsidR="00D811A1" w:rsidRPr="00D811A1" w:rsidRDefault="00D65123" w:rsidP="00D811A1">
      <w:pPr>
        <w:spacing w:line="360" w:lineRule="auto"/>
        <w:ind w:right="-1" w:firstLine="709"/>
        <w:jc w:val="both"/>
        <w:rPr>
          <w:sz w:val="28"/>
          <w:szCs w:val="28"/>
        </w:rPr>
      </w:pPr>
      <w:r>
        <w:rPr>
          <w:sz w:val="28"/>
          <w:szCs w:val="28"/>
        </w:rPr>
        <w:t>2.</w:t>
      </w:r>
      <w:r w:rsidRPr="00D65123">
        <w:rPr>
          <w:sz w:val="28"/>
          <w:szCs w:val="28"/>
        </w:rPr>
        <w:t xml:space="preserve">4. </w:t>
      </w:r>
      <w:proofErr w:type="gramStart"/>
      <w:r w:rsidR="00D811A1" w:rsidRPr="00D811A1">
        <w:rPr>
          <w:sz w:val="28"/>
          <w:szCs w:val="28"/>
        </w:rPr>
        <w:t>В нарушение подпункта 4 пункта 1 статьи 333.40 Налогового кодекса Российской Федерации, согласно которому уплаченная государственная пошлина подлежит возврату частично или полностью в случае отказа лиц, уплативших государственную пошлину, от совершения юридически значимого действия до обращения в уполномоченный орган (к должностному лицу), совершающий (совершающему) данное юридически значимое действие, Управлением осуществлялся возврат государственной пошлины (КБК 1 08 07490 01 1000 110</w:t>
      </w:r>
      <w:proofErr w:type="gramEnd"/>
      <w:r w:rsidR="00D811A1" w:rsidRPr="00D811A1">
        <w:rPr>
          <w:sz w:val="28"/>
          <w:szCs w:val="28"/>
        </w:rPr>
        <w:t>), уплаченной за предоставление государственной услуги по выдаче федеральных специальных марок после обращения организаций в Управление за совершением юридически значимых действий.</w:t>
      </w:r>
    </w:p>
    <w:p w:rsidR="00D811A1" w:rsidRPr="00D811A1" w:rsidRDefault="00D811A1" w:rsidP="00D811A1">
      <w:pPr>
        <w:widowControl w:val="0"/>
        <w:overflowPunct w:val="0"/>
        <w:autoSpaceDE w:val="0"/>
        <w:autoSpaceDN w:val="0"/>
        <w:adjustRightInd w:val="0"/>
        <w:spacing w:line="360" w:lineRule="auto"/>
        <w:ind w:right="-1" w:firstLine="709"/>
        <w:jc w:val="both"/>
        <w:textAlignment w:val="baseline"/>
        <w:rPr>
          <w:sz w:val="28"/>
          <w:szCs w:val="28"/>
        </w:rPr>
      </w:pPr>
      <w:r w:rsidRPr="00D811A1">
        <w:rPr>
          <w:sz w:val="28"/>
          <w:szCs w:val="28"/>
        </w:rPr>
        <w:t>Так, осуществлен возврат государственной пошлины:</w:t>
      </w:r>
    </w:p>
    <w:p w:rsidR="00D811A1" w:rsidRPr="00D811A1" w:rsidRDefault="00D811A1" w:rsidP="00D811A1">
      <w:pPr>
        <w:widowControl w:val="0"/>
        <w:overflowPunct w:val="0"/>
        <w:autoSpaceDE w:val="0"/>
        <w:autoSpaceDN w:val="0"/>
        <w:adjustRightInd w:val="0"/>
        <w:spacing w:line="360" w:lineRule="auto"/>
        <w:ind w:right="-1" w:firstLine="709"/>
        <w:jc w:val="both"/>
        <w:textAlignment w:val="baseline"/>
        <w:rPr>
          <w:sz w:val="28"/>
          <w:szCs w:val="28"/>
        </w:rPr>
      </w:pPr>
      <w:r w:rsidRPr="00D811A1">
        <w:rPr>
          <w:sz w:val="28"/>
          <w:szCs w:val="28"/>
        </w:rPr>
        <w:t>по заявлению от 19 декабря 2018 года на сумму 24,0 тыс. рублей (заявление о предоставлении государственной услуги от 12 декабря 2018 года, государственная услуга оказана 18 декабря 2018 года),</w:t>
      </w:r>
    </w:p>
    <w:p w:rsidR="00D811A1" w:rsidRPr="00D811A1" w:rsidRDefault="00D811A1" w:rsidP="00D811A1">
      <w:pPr>
        <w:widowControl w:val="0"/>
        <w:overflowPunct w:val="0"/>
        <w:autoSpaceDE w:val="0"/>
        <w:autoSpaceDN w:val="0"/>
        <w:adjustRightInd w:val="0"/>
        <w:spacing w:line="360" w:lineRule="auto"/>
        <w:ind w:right="-1" w:firstLine="709"/>
        <w:jc w:val="both"/>
        <w:textAlignment w:val="baseline"/>
        <w:rPr>
          <w:sz w:val="28"/>
          <w:szCs w:val="28"/>
        </w:rPr>
      </w:pPr>
      <w:r w:rsidRPr="00D811A1">
        <w:rPr>
          <w:sz w:val="28"/>
          <w:szCs w:val="28"/>
        </w:rPr>
        <w:t>по заявлению от 10 декабря 2018 года на сумму 20,0 тыс. рублей (заявление о предоставлении государственной услуги от 28 ноября 2018 года, государственная услуга оказана 4 декабря 2018 года);</w:t>
      </w:r>
    </w:p>
    <w:p w:rsidR="00D811A1" w:rsidRPr="00D811A1" w:rsidRDefault="00D811A1" w:rsidP="00D811A1">
      <w:pPr>
        <w:widowControl w:val="0"/>
        <w:overflowPunct w:val="0"/>
        <w:autoSpaceDE w:val="0"/>
        <w:autoSpaceDN w:val="0"/>
        <w:adjustRightInd w:val="0"/>
        <w:spacing w:line="360" w:lineRule="auto"/>
        <w:ind w:right="-1" w:firstLine="709"/>
        <w:jc w:val="both"/>
        <w:textAlignment w:val="baseline"/>
        <w:rPr>
          <w:sz w:val="28"/>
          <w:szCs w:val="28"/>
        </w:rPr>
      </w:pPr>
      <w:r w:rsidRPr="00D811A1">
        <w:rPr>
          <w:sz w:val="28"/>
          <w:szCs w:val="28"/>
        </w:rPr>
        <w:t>по заявлению от 2 апреля 2019 года на сумму 108,0 тыс. рублей (заявление о предоставлении государственной услуги от 21 ноября 2018 год, государственная услуга оказана 26 ноября 2018 года).</w:t>
      </w:r>
    </w:p>
    <w:sectPr w:rsidR="00D811A1" w:rsidRPr="00D811A1" w:rsidSect="00D65123">
      <w:headerReference w:type="default" r:id="rId9"/>
      <w:pgSz w:w="11906" w:h="16838"/>
      <w:pgMar w:top="1134" w:right="851" w:bottom="102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86B" w:rsidRDefault="00C0486B" w:rsidP="007C3996">
      <w:r>
        <w:separator/>
      </w:r>
    </w:p>
  </w:endnote>
  <w:endnote w:type="continuationSeparator" w:id="0">
    <w:p w:rsidR="00C0486B" w:rsidRDefault="00C0486B" w:rsidP="007C3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86B" w:rsidRDefault="00C0486B" w:rsidP="007C3996">
      <w:r>
        <w:separator/>
      </w:r>
    </w:p>
  </w:footnote>
  <w:footnote w:type="continuationSeparator" w:id="0">
    <w:p w:rsidR="00C0486B" w:rsidRDefault="00C0486B" w:rsidP="007C3996">
      <w:r>
        <w:continuationSeparator/>
      </w:r>
    </w:p>
  </w:footnote>
  <w:footnote w:id="1">
    <w:p w:rsidR="000652FE" w:rsidRPr="00F54E57" w:rsidRDefault="00435DF9" w:rsidP="000652FE">
      <w:pPr>
        <w:pStyle w:val="a4"/>
        <w:rPr>
          <w:sz w:val="22"/>
          <w:szCs w:val="22"/>
        </w:rPr>
      </w:pPr>
      <w:r>
        <w:rPr>
          <w:rStyle w:val="a6"/>
        </w:rPr>
        <w:footnoteRef/>
      </w:r>
      <w:r>
        <w:t xml:space="preserve"> </w:t>
      </w:r>
      <w:r w:rsidRPr="00BE6285">
        <w:rPr>
          <w:sz w:val="22"/>
          <w:szCs w:val="22"/>
        </w:rPr>
        <w:t xml:space="preserve">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w:t>
      </w:r>
      <w:r>
        <w:rPr>
          <w:sz w:val="22"/>
          <w:szCs w:val="22"/>
        </w:rPr>
        <w:br/>
      </w:r>
      <w:r w:rsidRPr="00BE6285">
        <w:rPr>
          <w:sz w:val="22"/>
          <w:szCs w:val="22"/>
        </w:rPr>
        <w:t>от 1 декабря 2010 г. № 157н</w:t>
      </w:r>
      <w:r w:rsidR="000652FE">
        <w:rPr>
          <w:sz w:val="22"/>
          <w:szCs w:val="22"/>
        </w:rPr>
        <w:t xml:space="preserve"> (далее – Инструкция № 157н).</w:t>
      </w:r>
    </w:p>
  </w:footnote>
  <w:footnote w:id="2">
    <w:p w:rsidR="000652FE" w:rsidRDefault="000652FE">
      <w:pPr>
        <w:pStyle w:val="a4"/>
      </w:pPr>
      <w:r>
        <w:rPr>
          <w:rStyle w:val="a6"/>
        </w:rPr>
        <w:footnoteRef/>
      </w:r>
      <w:r>
        <w:t xml:space="preserve"> </w:t>
      </w:r>
      <w:proofErr w:type="gramStart"/>
      <w:r w:rsidRPr="009C215F">
        <w:t>Административн</w:t>
      </w:r>
      <w:r>
        <w:t>ый</w:t>
      </w:r>
      <w:r w:rsidRPr="009C215F">
        <w:t xml:space="preserve"> регламент предоставления Федеральной службой по регулированию алкогольного рынка государственной услуги по лицензированию производства и оборота этилового спирта, алкогольной (за исключением розничной продажи) и спиртосодержащей продукции, лицензированию производства, хранения, поставок и розничной продажи винодельческой продукции, произведенной сельскохозяйственными товаропроизводителями (организациями, индивидуальными предпринимателями, крестьянскими (фермерскими) хозяйствами), признаваемыми таковыми в соответствии с Федеральным законом «О развитии сельского хозяйства», утвержденн</w:t>
      </w:r>
      <w:r>
        <w:t>ый</w:t>
      </w:r>
      <w:r w:rsidRPr="009C215F">
        <w:t xml:space="preserve"> приказом Росалкогольрегулирования от 12</w:t>
      </w:r>
      <w:proofErr w:type="gramEnd"/>
      <w:r>
        <w:t xml:space="preserve"> </w:t>
      </w:r>
      <w:r w:rsidRPr="009C215F">
        <w:t>августа 2019 г. № 199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422133"/>
      <w:docPartObj>
        <w:docPartGallery w:val="Page Numbers (Top of Page)"/>
        <w:docPartUnique/>
      </w:docPartObj>
    </w:sdtPr>
    <w:sdtEndPr/>
    <w:sdtContent>
      <w:p w:rsidR="00F45056" w:rsidRDefault="00F45056">
        <w:pPr>
          <w:pStyle w:val="a8"/>
          <w:jc w:val="center"/>
        </w:pPr>
        <w:r>
          <w:fldChar w:fldCharType="begin"/>
        </w:r>
        <w:r>
          <w:instrText>PAGE   \* MERGEFORMAT</w:instrText>
        </w:r>
        <w:r>
          <w:fldChar w:fldCharType="separate"/>
        </w:r>
        <w:r w:rsidR="003F4E5E">
          <w:rPr>
            <w:noProof/>
          </w:rPr>
          <w:t>2</w:t>
        </w:r>
        <w:r>
          <w:fldChar w:fldCharType="end"/>
        </w:r>
      </w:p>
    </w:sdtContent>
  </w:sdt>
  <w:p w:rsidR="00F45056" w:rsidRDefault="00F4505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03C66"/>
    <w:multiLevelType w:val="hybridMultilevel"/>
    <w:tmpl w:val="A73631A8"/>
    <w:lvl w:ilvl="0" w:tplc="1F2EAEE2">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E3D3557"/>
    <w:multiLevelType w:val="multilevel"/>
    <w:tmpl w:val="2A3E06B4"/>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b w:val="0"/>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2">
    <w:nsid w:val="2AA06551"/>
    <w:multiLevelType w:val="multilevel"/>
    <w:tmpl w:val="E094186E"/>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47DC06DB"/>
    <w:multiLevelType w:val="multilevel"/>
    <w:tmpl w:val="83086738"/>
    <w:lvl w:ilvl="0">
      <w:start w:val="1"/>
      <w:numFmt w:val="decimal"/>
      <w:lvlText w:val="%1."/>
      <w:lvlJc w:val="left"/>
      <w:pPr>
        <w:ind w:left="450" w:hanging="450"/>
      </w:pPr>
      <w:rPr>
        <w:rFonts w:hint="default"/>
        <w:color w:val="000000"/>
      </w:rPr>
    </w:lvl>
    <w:lvl w:ilvl="1">
      <w:start w:val="1"/>
      <w:numFmt w:val="decimal"/>
      <w:lvlText w:val="%1.%2."/>
      <w:lvlJc w:val="left"/>
      <w:pPr>
        <w:ind w:left="1713" w:hanging="720"/>
      </w:pPr>
      <w:rPr>
        <w:rFonts w:hint="default"/>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4059" w:hanging="108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405" w:hanging="1440"/>
      </w:pPr>
      <w:rPr>
        <w:rFonts w:hint="default"/>
        <w:color w:val="000000"/>
      </w:rPr>
    </w:lvl>
    <w:lvl w:ilvl="6">
      <w:start w:val="1"/>
      <w:numFmt w:val="decimal"/>
      <w:lvlText w:val="%1.%2.%3.%4.%5.%6.%7."/>
      <w:lvlJc w:val="left"/>
      <w:pPr>
        <w:ind w:left="7758" w:hanging="1800"/>
      </w:pPr>
      <w:rPr>
        <w:rFonts w:hint="default"/>
        <w:color w:val="000000"/>
      </w:rPr>
    </w:lvl>
    <w:lvl w:ilvl="7">
      <w:start w:val="1"/>
      <w:numFmt w:val="decimal"/>
      <w:lvlText w:val="%1.%2.%3.%4.%5.%6.%7.%8."/>
      <w:lvlJc w:val="left"/>
      <w:pPr>
        <w:ind w:left="8751" w:hanging="1800"/>
      </w:pPr>
      <w:rPr>
        <w:rFonts w:hint="default"/>
        <w:color w:val="000000"/>
      </w:rPr>
    </w:lvl>
    <w:lvl w:ilvl="8">
      <w:start w:val="1"/>
      <w:numFmt w:val="decimal"/>
      <w:lvlText w:val="%1.%2.%3.%4.%5.%6.%7.%8.%9."/>
      <w:lvlJc w:val="left"/>
      <w:pPr>
        <w:ind w:left="10104" w:hanging="2160"/>
      </w:pPr>
      <w:rPr>
        <w:rFonts w:hint="default"/>
        <w:color w:val="000000"/>
      </w:rPr>
    </w:lvl>
  </w:abstractNum>
  <w:abstractNum w:abstractNumId="4">
    <w:nsid w:val="63673BA8"/>
    <w:multiLevelType w:val="multilevel"/>
    <w:tmpl w:val="96FE2AD6"/>
    <w:lvl w:ilvl="0">
      <w:start w:val="1"/>
      <w:numFmt w:val="decimal"/>
      <w:lvlText w:val="%1."/>
      <w:lvlJc w:val="left"/>
      <w:pPr>
        <w:ind w:left="1573" w:hanging="1005"/>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1713" w:hanging="72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073" w:hanging="108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433" w:hanging="1440"/>
      </w:pPr>
      <w:rPr>
        <w:rFonts w:hint="default"/>
      </w:rPr>
    </w:lvl>
  </w:abstractNum>
  <w:abstractNum w:abstractNumId="5">
    <w:nsid w:val="660A57A9"/>
    <w:multiLevelType w:val="multilevel"/>
    <w:tmpl w:val="8CC24EE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660F14F5"/>
    <w:multiLevelType w:val="multilevel"/>
    <w:tmpl w:val="596CEAA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num w:numId="1">
    <w:abstractNumId w:val="6"/>
  </w:num>
  <w:num w:numId="2">
    <w:abstractNumId w:val="3"/>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9AE"/>
    <w:rsid w:val="00022255"/>
    <w:rsid w:val="000301D8"/>
    <w:rsid w:val="000652FE"/>
    <w:rsid w:val="000E1EBC"/>
    <w:rsid w:val="00180021"/>
    <w:rsid w:val="00184D9B"/>
    <w:rsid w:val="00240EB3"/>
    <w:rsid w:val="00321A5D"/>
    <w:rsid w:val="003745C5"/>
    <w:rsid w:val="00377A9E"/>
    <w:rsid w:val="003F4E5E"/>
    <w:rsid w:val="00435DF9"/>
    <w:rsid w:val="00455DC6"/>
    <w:rsid w:val="004729AE"/>
    <w:rsid w:val="00475A17"/>
    <w:rsid w:val="004831A0"/>
    <w:rsid w:val="004A536E"/>
    <w:rsid w:val="0054480A"/>
    <w:rsid w:val="00566348"/>
    <w:rsid w:val="00592512"/>
    <w:rsid w:val="005C05AD"/>
    <w:rsid w:val="005E78F6"/>
    <w:rsid w:val="00670D2D"/>
    <w:rsid w:val="006D4049"/>
    <w:rsid w:val="007C3996"/>
    <w:rsid w:val="00802A24"/>
    <w:rsid w:val="0080733E"/>
    <w:rsid w:val="008930E1"/>
    <w:rsid w:val="00907E3D"/>
    <w:rsid w:val="00980464"/>
    <w:rsid w:val="009C33FB"/>
    <w:rsid w:val="00AA3C48"/>
    <w:rsid w:val="00BB356C"/>
    <w:rsid w:val="00C0486B"/>
    <w:rsid w:val="00C22724"/>
    <w:rsid w:val="00CE1553"/>
    <w:rsid w:val="00D16EE9"/>
    <w:rsid w:val="00D27FF9"/>
    <w:rsid w:val="00D65123"/>
    <w:rsid w:val="00D80294"/>
    <w:rsid w:val="00D811A1"/>
    <w:rsid w:val="00DB17AB"/>
    <w:rsid w:val="00E76B2D"/>
    <w:rsid w:val="00E961D1"/>
    <w:rsid w:val="00E97B1D"/>
    <w:rsid w:val="00EC7F5A"/>
    <w:rsid w:val="00F34312"/>
    <w:rsid w:val="00F4301A"/>
    <w:rsid w:val="00F45056"/>
    <w:rsid w:val="00F54E57"/>
    <w:rsid w:val="00FE3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9A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4729AE"/>
    <w:pPr>
      <w:keepNext/>
      <w:ind w:firstLine="5670"/>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729AE"/>
    <w:rPr>
      <w:rFonts w:ascii="Times New Roman" w:eastAsia="Times New Roman" w:hAnsi="Times New Roman" w:cs="Times New Roman"/>
      <w:sz w:val="28"/>
      <w:szCs w:val="28"/>
      <w:lang w:eastAsia="ru-RU"/>
    </w:rPr>
  </w:style>
  <w:style w:type="paragraph" w:styleId="a3">
    <w:name w:val="List Paragraph"/>
    <w:basedOn w:val="a"/>
    <w:uiPriority w:val="34"/>
    <w:qFormat/>
    <w:rsid w:val="004729AE"/>
    <w:pPr>
      <w:ind w:left="720"/>
      <w:contextualSpacing/>
    </w:pPr>
  </w:style>
  <w:style w:type="paragraph" w:styleId="a4">
    <w:name w:val="footnote text"/>
    <w:aliases w:val="Текст сноски Знак Знак Знак,Table_Footnote_last,Текст сноски-FN,Oaeno niinee-FN,Oaeno niinee Ciae,F1,Footnote Text Char Знак Знак,Footnote Text Char Знак,Текст сноски Знак1 Знак,single space,Текст сноски Знак2,Текст сноски Знак Знак1 Знак,-"/>
    <w:basedOn w:val="a"/>
    <w:link w:val="a5"/>
    <w:uiPriority w:val="99"/>
    <w:unhideWhenUsed/>
    <w:qFormat/>
    <w:rsid w:val="007C3996"/>
    <w:pPr>
      <w:ind w:firstLine="709"/>
      <w:jc w:val="both"/>
    </w:pPr>
  </w:style>
  <w:style w:type="character" w:customStyle="1" w:styleId="a5">
    <w:name w:val="Текст сноски Знак"/>
    <w:aliases w:val="Текст сноски Знак Знак Знак Знак,Table_Footnote_last Знак,Текст сноски-FN Знак,Oaeno niinee-FN Знак,Oaeno niinee Ciae Знак,F1 Знак,Footnote Text Char Знак Знак Знак,Footnote Text Char Знак Знак1,Текст сноски Знак1 Знак Знак,- Знак"/>
    <w:basedOn w:val="a0"/>
    <w:link w:val="a4"/>
    <w:uiPriority w:val="99"/>
    <w:rsid w:val="007C3996"/>
    <w:rPr>
      <w:rFonts w:ascii="Times New Roman" w:eastAsia="Times New Roman" w:hAnsi="Times New Roman" w:cs="Times New Roman"/>
      <w:sz w:val="20"/>
      <w:szCs w:val="20"/>
      <w:lang w:eastAsia="ru-RU"/>
    </w:rPr>
  </w:style>
  <w:style w:type="character" w:styleId="a6">
    <w:name w:val="footnote reference"/>
    <w:uiPriority w:val="99"/>
    <w:unhideWhenUsed/>
    <w:rsid w:val="007C3996"/>
    <w:rPr>
      <w:vertAlign w:val="superscript"/>
    </w:rPr>
  </w:style>
  <w:style w:type="character" w:customStyle="1" w:styleId="22pt">
    <w:name w:val="Основной текст (2) + Интервал 2 pt"/>
    <w:rsid w:val="007C3996"/>
    <w:rPr>
      <w:rFonts w:ascii="Times New Roman" w:eastAsia="Times New Roman" w:hAnsi="Times New Roman" w:cs="Times New Roman"/>
      <w:color w:val="000000"/>
      <w:spacing w:val="50"/>
      <w:w w:val="100"/>
      <w:position w:val="0"/>
      <w:sz w:val="28"/>
      <w:szCs w:val="28"/>
      <w:shd w:val="clear" w:color="auto" w:fill="FFFFFF"/>
      <w:lang w:val="ru-RU" w:eastAsia="ru-RU" w:bidi="ru-RU"/>
    </w:rPr>
  </w:style>
  <w:style w:type="character" w:styleId="a7">
    <w:name w:val="Hyperlink"/>
    <w:rsid w:val="0054480A"/>
    <w:rPr>
      <w:color w:val="0563C1"/>
      <w:u w:val="single"/>
    </w:rPr>
  </w:style>
  <w:style w:type="character" w:customStyle="1" w:styleId="4">
    <w:name w:val="Основной текст (4)_"/>
    <w:link w:val="40"/>
    <w:rsid w:val="00D16EE9"/>
    <w:rPr>
      <w:rFonts w:ascii="Times New Roman" w:eastAsia="Times New Roman" w:hAnsi="Times New Roman"/>
      <w:b/>
      <w:bCs/>
      <w:sz w:val="28"/>
      <w:szCs w:val="28"/>
      <w:shd w:val="clear" w:color="auto" w:fill="FFFFFF"/>
    </w:rPr>
  </w:style>
  <w:style w:type="paragraph" w:customStyle="1" w:styleId="40">
    <w:name w:val="Основной текст (4)"/>
    <w:basedOn w:val="a"/>
    <w:link w:val="4"/>
    <w:rsid w:val="00D16EE9"/>
    <w:pPr>
      <w:widowControl w:val="0"/>
      <w:shd w:val="clear" w:color="auto" w:fill="FFFFFF"/>
      <w:spacing w:before="720" w:line="322" w:lineRule="exact"/>
    </w:pPr>
    <w:rPr>
      <w:rFonts w:cstheme="minorBidi"/>
      <w:b/>
      <w:bCs/>
      <w:sz w:val="28"/>
      <w:szCs w:val="28"/>
      <w:lang w:eastAsia="en-US"/>
    </w:rPr>
  </w:style>
  <w:style w:type="paragraph" w:styleId="a8">
    <w:name w:val="header"/>
    <w:basedOn w:val="a"/>
    <w:link w:val="a9"/>
    <w:uiPriority w:val="99"/>
    <w:unhideWhenUsed/>
    <w:rsid w:val="00F45056"/>
    <w:pPr>
      <w:tabs>
        <w:tab w:val="center" w:pos="4677"/>
        <w:tab w:val="right" w:pos="9355"/>
      </w:tabs>
    </w:pPr>
  </w:style>
  <w:style w:type="character" w:customStyle="1" w:styleId="a9">
    <w:name w:val="Верхний колонтитул Знак"/>
    <w:basedOn w:val="a0"/>
    <w:link w:val="a8"/>
    <w:uiPriority w:val="99"/>
    <w:rsid w:val="00F45056"/>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F45056"/>
    <w:pPr>
      <w:tabs>
        <w:tab w:val="center" w:pos="4677"/>
        <w:tab w:val="right" w:pos="9355"/>
      </w:tabs>
    </w:pPr>
  </w:style>
  <w:style w:type="character" w:customStyle="1" w:styleId="ab">
    <w:name w:val="Нижний колонтитул Знак"/>
    <w:basedOn w:val="a0"/>
    <w:link w:val="aa"/>
    <w:uiPriority w:val="99"/>
    <w:rsid w:val="00F45056"/>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rsid w:val="00435DF9"/>
    <w:rPr>
      <w:sz w:val="16"/>
      <w:szCs w:val="16"/>
    </w:rPr>
  </w:style>
  <w:style w:type="paragraph" w:styleId="ad">
    <w:name w:val="annotation text"/>
    <w:basedOn w:val="a"/>
    <w:link w:val="ae"/>
    <w:uiPriority w:val="99"/>
    <w:semiHidden/>
    <w:unhideWhenUsed/>
    <w:rsid w:val="00435DF9"/>
  </w:style>
  <w:style w:type="character" w:customStyle="1" w:styleId="ae">
    <w:name w:val="Текст примечания Знак"/>
    <w:basedOn w:val="a0"/>
    <w:link w:val="ad"/>
    <w:uiPriority w:val="99"/>
    <w:semiHidden/>
    <w:rsid w:val="00435DF9"/>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435DF9"/>
    <w:rPr>
      <w:b/>
      <w:bCs/>
    </w:rPr>
  </w:style>
  <w:style w:type="character" w:customStyle="1" w:styleId="af0">
    <w:name w:val="Тема примечания Знак"/>
    <w:basedOn w:val="ae"/>
    <w:link w:val="af"/>
    <w:uiPriority w:val="99"/>
    <w:semiHidden/>
    <w:rsid w:val="00435DF9"/>
    <w:rPr>
      <w:rFonts w:ascii="Times New Roman" w:eastAsia="Times New Roman" w:hAnsi="Times New Roman" w:cs="Times New Roman"/>
      <w:b/>
      <w:bCs/>
      <w:sz w:val="20"/>
      <w:szCs w:val="20"/>
      <w:lang w:eastAsia="ru-RU"/>
    </w:rPr>
  </w:style>
  <w:style w:type="paragraph" w:styleId="af1">
    <w:name w:val="Balloon Text"/>
    <w:basedOn w:val="a"/>
    <w:link w:val="af2"/>
    <w:uiPriority w:val="99"/>
    <w:semiHidden/>
    <w:unhideWhenUsed/>
    <w:rsid w:val="00435DF9"/>
    <w:rPr>
      <w:rFonts w:ascii="Tahoma" w:hAnsi="Tahoma" w:cs="Tahoma"/>
      <w:sz w:val="16"/>
      <w:szCs w:val="16"/>
    </w:rPr>
  </w:style>
  <w:style w:type="character" w:customStyle="1" w:styleId="af2">
    <w:name w:val="Текст выноски Знак"/>
    <w:basedOn w:val="a0"/>
    <w:link w:val="af1"/>
    <w:uiPriority w:val="99"/>
    <w:semiHidden/>
    <w:rsid w:val="00435DF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9A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4729AE"/>
    <w:pPr>
      <w:keepNext/>
      <w:ind w:firstLine="5670"/>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729AE"/>
    <w:rPr>
      <w:rFonts w:ascii="Times New Roman" w:eastAsia="Times New Roman" w:hAnsi="Times New Roman" w:cs="Times New Roman"/>
      <w:sz w:val="28"/>
      <w:szCs w:val="28"/>
      <w:lang w:eastAsia="ru-RU"/>
    </w:rPr>
  </w:style>
  <w:style w:type="paragraph" w:styleId="a3">
    <w:name w:val="List Paragraph"/>
    <w:basedOn w:val="a"/>
    <w:uiPriority w:val="34"/>
    <w:qFormat/>
    <w:rsid w:val="004729AE"/>
    <w:pPr>
      <w:ind w:left="720"/>
      <w:contextualSpacing/>
    </w:pPr>
  </w:style>
  <w:style w:type="paragraph" w:styleId="a4">
    <w:name w:val="footnote text"/>
    <w:aliases w:val="Текст сноски Знак Знак Знак,Table_Footnote_last,Текст сноски-FN,Oaeno niinee-FN,Oaeno niinee Ciae,F1,Footnote Text Char Знак Знак,Footnote Text Char Знак,Текст сноски Знак1 Знак,single space,Текст сноски Знак2,Текст сноски Знак Знак1 Знак,-"/>
    <w:basedOn w:val="a"/>
    <w:link w:val="a5"/>
    <w:uiPriority w:val="99"/>
    <w:unhideWhenUsed/>
    <w:qFormat/>
    <w:rsid w:val="007C3996"/>
    <w:pPr>
      <w:ind w:firstLine="709"/>
      <w:jc w:val="both"/>
    </w:pPr>
  </w:style>
  <w:style w:type="character" w:customStyle="1" w:styleId="a5">
    <w:name w:val="Текст сноски Знак"/>
    <w:aliases w:val="Текст сноски Знак Знак Знак Знак,Table_Footnote_last Знак,Текст сноски-FN Знак,Oaeno niinee-FN Знак,Oaeno niinee Ciae Знак,F1 Знак,Footnote Text Char Знак Знак Знак,Footnote Text Char Знак Знак1,Текст сноски Знак1 Знак Знак,- Знак"/>
    <w:basedOn w:val="a0"/>
    <w:link w:val="a4"/>
    <w:uiPriority w:val="99"/>
    <w:rsid w:val="007C3996"/>
    <w:rPr>
      <w:rFonts w:ascii="Times New Roman" w:eastAsia="Times New Roman" w:hAnsi="Times New Roman" w:cs="Times New Roman"/>
      <w:sz w:val="20"/>
      <w:szCs w:val="20"/>
      <w:lang w:eastAsia="ru-RU"/>
    </w:rPr>
  </w:style>
  <w:style w:type="character" w:styleId="a6">
    <w:name w:val="footnote reference"/>
    <w:uiPriority w:val="99"/>
    <w:unhideWhenUsed/>
    <w:rsid w:val="007C3996"/>
    <w:rPr>
      <w:vertAlign w:val="superscript"/>
    </w:rPr>
  </w:style>
  <w:style w:type="character" w:customStyle="1" w:styleId="22pt">
    <w:name w:val="Основной текст (2) + Интервал 2 pt"/>
    <w:rsid w:val="007C3996"/>
    <w:rPr>
      <w:rFonts w:ascii="Times New Roman" w:eastAsia="Times New Roman" w:hAnsi="Times New Roman" w:cs="Times New Roman"/>
      <w:color w:val="000000"/>
      <w:spacing w:val="50"/>
      <w:w w:val="100"/>
      <w:position w:val="0"/>
      <w:sz w:val="28"/>
      <w:szCs w:val="28"/>
      <w:shd w:val="clear" w:color="auto" w:fill="FFFFFF"/>
      <w:lang w:val="ru-RU" w:eastAsia="ru-RU" w:bidi="ru-RU"/>
    </w:rPr>
  </w:style>
  <w:style w:type="character" w:styleId="a7">
    <w:name w:val="Hyperlink"/>
    <w:rsid w:val="0054480A"/>
    <w:rPr>
      <w:color w:val="0563C1"/>
      <w:u w:val="single"/>
    </w:rPr>
  </w:style>
  <w:style w:type="character" w:customStyle="1" w:styleId="4">
    <w:name w:val="Основной текст (4)_"/>
    <w:link w:val="40"/>
    <w:rsid w:val="00D16EE9"/>
    <w:rPr>
      <w:rFonts w:ascii="Times New Roman" w:eastAsia="Times New Roman" w:hAnsi="Times New Roman"/>
      <w:b/>
      <w:bCs/>
      <w:sz w:val="28"/>
      <w:szCs w:val="28"/>
      <w:shd w:val="clear" w:color="auto" w:fill="FFFFFF"/>
    </w:rPr>
  </w:style>
  <w:style w:type="paragraph" w:customStyle="1" w:styleId="40">
    <w:name w:val="Основной текст (4)"/>
    <w:basedOn w:val="a"/>
    <w:link w:val="4"/>
    <w:rsid w:val="00D16EE9"/>
    <w:pPr>
      <w:widowControl w:val="0"/>
      <w:shd w:val="clear" w:color="auto" w:fill="FFFFFF"/>
      <w:spacing w:before="720" w:line="322" w:lineRule="exact"/>
    </w:pPr>
    <w:rPr>
      <w:rFonts w:cstheme="minorBidi"/>
      <w:b/>
      <w:bCs/>
      <w:sz w:val="28"/>
      <w:szCs w:val="28"/>
      <w:lang w:eastAsia="en-US"/>
    </w:rPr>
  </w:style>
  <w:style w:type="paragraph" w:styleId="a8">
    <w:name w:val="header"/>
    <w:basedOn w:val="a"/>
    <w:link w:val="a9"/>
    <w:uiPriority w:val="99"/>
    <w:unhideWhenUsed/>
    <w:rsid w:val="00F45056"/>
    <w:pPr>
      <w:tabs>
        <w:tab w:val="center" w:pos="4677"/>
        <w:tab w:val="right" w:pos="9355"/>
      </w:tabs>
    </w:pPr>
  </w:style>
  <w:style w:type="character" w:customStyle="1" w:styleId="a9">
    <w:name w:val="Верхний колонтитул Знак"/>
    <w:basedOn w:val="a0"/>
    <w:link w:val="a8"/>
    <w:uiPriority w:val="99"/>
    <w:rsid w:val="00F45056"/>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F45056"/>
    <w:pPr>
      <w:tabs>
        <w:tab w:val="center" w:pos="4677"/>
        <w:tab w:val="right" w:pos="9355"/>
      </w:tabs>
    </w:pPr>
  </w:style>
  <w:style w:type="character" w:customStyle="1" w:styleId="ab">
    <w:name w:val="Нижний колонтитул Знак"/>
    <w:basedOn w:val="a0"/>
    <w:link w:val="aa"/>
    <w:uiPriority w:val="99"/>
    <w:rsid w:val="00F45056"/>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rsid w:val="00435DF9"/>
    <w:rPr>
      <w:sz w:val="16"/>
      <w:szCs w:val="16"/>
    </w:rPr>
  </w:style>
  <w:style w:type="paragraph" w:styleId="ad">
    <w:name w:val="annotation text"/>
    <w:basedOn w:val="a"/>
    <w:link w:val="ae"/>
    <w:uiPriority w:val="99"/>
    <w:semiHidden/>
    <w:unhideWhenUsed/>
    <w:rsid w:val="00435DF9"/>
  </w:style>
  <w:style w:type="character" w:customStyle="1" w:styleId="ae">
    <w:name w:val="Текст примечания Знак"/>
    <w:basedOn w:val="a0"/>
    <w:link w:val="ad"/>
    <w:uiPriority w:val="99"/>
    <w:semiHidden/>
    <w:rsid w:val="00435DF9"/>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435DF9"/>
    <w:rPr>
      <w:b/>
      <w:bCs/>
    </w:rPr>
  </w:style>
  <w:style w:type="character" w:customStyle="1" w:styleId="af0">
    <w:name w:val="Тема примечания Знак"/>
    <w:basedOn w:val="ae"/>
    <w:link w:val="af"/>
    <w:uiPriority w:val="99"/>
    <w:semiHidden/>
    <w:rsid w:val="00435DF9"/>
    <w:rPr>
      <w:rFonts w:ascii="Times New Roman" w:eastAsia="Times New Roman" w:hAnsi="Times New Roman" w:cs="Times New Roman"/>
      <w:b/>
      <w:bCs/>
      <w:sz w:val="20"/>
      <w:szCs w:val="20"/>
      <w:lang w:eastAsia="ru-RU"/>
    </w:rPr>
  </w:style>
  <w:style w:type="paragraph" w:styleId="af1">
    <w:name w:val="Balloon Text"/>
    <w:basedOn w:val="a"/>
    <w:link w:val="af2"/>
    <w:uiPriority w:val="99"/>
    <w:semiHidden/>
    <w:unhideWhenUsed/>
    <w:rsid w:val="00435DF9"/>
    <w:rPr>
      <w:rFonts w:ascii="Tahoma" w:hAnsi="Tahoma" w:cs="Tahoma"/>
      <w:sz w:val="16"/>
      <w:szCs w:val="16"/>
    </w:rPr>
  </w:style>
  <w:style w:type="character" w:customStyle="1" w:styleId="af2">
    <w:name w:val="Текст выноски Знак"/>
    <w:basedOn w:val="a0"/>
    <w:link w:val="af1"/>
    <w:uiPriority w:val="99"/>
    <w:semiHidden/>
    <w:rsid w:val="00435D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84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6E50A-59D7-4526-9F47-7007D857D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1625</Words>
  <Characters>9267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Харламова Татьяна Васильевна</dc:creator>
  <cp:lastModifiedBy>User</cp:lastModifiedBy>
  <cp:revision>2</cp:revision>
  <dcterms:created xsi:type="dcterms:W3CDTF">2021-06-06T10:49:00Z</dcterms:created>
  <dcterms:modified xsi:type="dcterms:W3CDTF">2021-06-06T10:49:00Z</dcterms:modified>
</cp:coreProperties>
</file>