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52.0" w:type="dxa"/>
        <w:jc w:val="left"/>
        <w:tblInd w:w="6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tblGridChange w:id="0">
          <w:tblGrid>
            <w:gridCol w:w="365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Приложение №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br w:type="textWrapping"/>
              <w:t xml:space="preserve">к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Отчету 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результата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  <w:br w:type="textWrapping"/>
              <w:t xml:space="preserve">экспертно-аналитического мероприятия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 «__»________202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ОМ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-__________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Перечень программ развития вузов - участников Проекта 5-100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0.0" w:type="dxa"/>
        <w:tblLayout w:type="fixed"/>
        <w:tblLook w:val="0000"/>
      </w:tblPr>
      <w:tblGrid>
        <w:gridCol w:w="362"/>
        <w:gridCol w:w="3313"/>
        <w:gridCol w:w="6045"/>
        <w:tblGridChange w:id="0">
          <w:tblGrid>
            <w:gridCol w:w="362"/>
            <w:gridCol w:w="3313"/>
            <w:gridCol w:w="6045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Наименования документа, определяющего цели и задачи по развитию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ФГАОУ ВО "Балтийский федеральный университет имени Иммануила Канта"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2011 - 2020 годы (указ Президента)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Стратегия развития на 2013 - 2020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повышения конкурентоспособности (далее - ПК) на 2016 - 2020 годы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2009 - 2015 годы и до 2020 (Распоряжение Правительства)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инновационной инфраструктуры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до 2030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"Дальневосточный федеральный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2010 - 2019 годы (ФУ)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2020 - 2029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университет ИТМО"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Стратегия развития до 2034 года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Стратегия развития до 2027 года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"Казанский (Приволжский) федеральный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2010 - 2019 годы (ФУ)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"Санкт-Петербургский государственный электротехнический университет «ЛЭТИ» им. В.И. Ульянова (Ленина)"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стратегического развития на 2012 - 2016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ядерный университет «МИФИ»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создания и развития НИЯУ на 2009 - 2018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"Московский физико-технический институт (национальный исследовательский университет)"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технологический университет «МИСиС»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создания и развития НИТУ на 2009 - 2017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"Новосибирский национальный исследовательский государственный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Нижегородский государственный университет им. Н.И. Лобачевского"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"Санкт-Петербургский политехнический университет Петра Великого"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2010 - 2019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"Российский университет дружбы народов"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2016 - 2020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"Самарский национальный исследовательский университет имени академика С.П. Королева"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129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трансформации Самарского университета в университетский центр инновационного, технологического и социального развития Самарской области на 2017 - 2020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"Сибирский федеральный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2016 - 2020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2011 - 2021 годы (ФУ)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Томский государственный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2010 - 2019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Томский политехнический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2009 - 2018 годы (НИУ)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2019 -2023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Комплексная</w:t>
            </w:r>
            <w:r w:rsidDel="00000000" w:rsidR="00000000" w:rsidRPr="00000000">
              <w:rPr>
                <w:color w:val="000000"/>
                <w:rtl w:val="0"/>
              </w:rPr>
              <w:t xml:space="preserve"> программа развития на 2011 -2015 годы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"Тюменский государственный университет"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2016 - 2020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"Уральский федеральный университет имени первого Президента России Б.Н. Ельцина"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2010 - 2020 годы (ФУ)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2013 - 2020 годы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ФГАОУ ВО "Южно-Уральский государственный университет (национальный исследовательский университет)"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2016 - 2020 годы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развития на 2010 - 2019 годы (НИУ)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ФГАОУ ВО "Первый Московский государственный медицинский университет имени И.М. Сеченова Министерства здравоохранения Российской Федерации"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Программа ПК на 2016 - 2020 годы</w:t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4" w:w="11909" w:orient="portrait"/>
      <w:pgMar w:bottom="426" w:top="709" w:left="1418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qFormat w:val="1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 w:val="1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ConsPlusTitle" w:customStyle="1">
    <w:name w:val="ConsPlusTitle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b w:val="1"/>
      <w:bCs w:val="1"/>
      <w:position w:val="-1"/>
      <w:sz w:val="24"/>
      <w:szCs w:val="24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Tahoma" w:cs="Tahoma" w:hAnsi="Tahoma"/>
      <w:sz w:val="16"/>
      <w:szCs w:val="16"/>
    </w:rPr>
  </w:style>
  <w:style w:type="character" w:styleId="aa">
    <w:name w:val="Hyperlink"/>
    <w:qFormat w:val="1"/>
    <w:rPr>
      <w:color w:val="aaaaaa"/>
      <w:w w:val="100"/>
      <w:position w:val="-1"/>
      <w:u w:val="single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vts6" w:customStyle="1">
    <w:name w:val="rvts6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d">
    <w:name w:val="Normal (Web)"/>
    <w:basedOn w:val="a"/>
    <w:qFormat w:val="1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</w:rPr>
  </w:style>
  <w:style w:type="paragraph" w:styleId="a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8WAvomMzfWDmXkn0fpR1zQK4gQ==">AMUW2mWyfNSQNjwWvEx+Z74+Xo90niByUfWCDWvcEz2q1uQ4RKD2SWYZ+pzEwy/jHk2ZTFcDuxb58cr6YHc/A1rWuD33/wMrYSnngRV+s3L8fqLDoj8m76sJz34UjosVkvx5W97U1O8L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2020-12-18T09:06:00Z</dcterms:created>
  <dc:creator>Kozlova</dc:creator>
</cp:coreProperties>
</file>