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46"/>
        <w:tblW w:w="522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1441"/>
        <w:gridCol w:w="5814"/>
      </w:tblGrid>
      <w:tr w:rsidR="008B75C8" w:rsidRPr="008B75C8" w:rsidTr="00D128E4">
        <w:trPr>
          <w:cantSplit/>
        </w:trPr>
        <w:tc>
          <w:tcPr>
            <w:tcW w:w="1396" w:type="pct"/>
          </w:tcPr>
          <w:p w:rsidR="008B75C8" w:rsidRPr="008B75C8" w:rsidRDefault="008B75C8" w:rsidP="008B75C8">
            <w:pPr>
              <w:spacing w:after="0" w:line="240" w:lineRule="auto"/>
              <w:ind w:left="284" w:right="-284" w:firstLine="7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75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8B75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6" w:type="pct"/>
          </w:tcPr>
          <w:p w:rsidR="008B75C8" w:rsidRPr="008B75C8" w:rsidRDefault="008B75C8" w:rsidP="008B75C8">
            <w:pPr>
              <w:spacing w:after="0" w:line="240" w:lineRule="auto"/>
              <w:ind w:left="284" w:righ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B75C8" w:rsidRPr="008B75C8" w:rsidRDefault="008B75C8" w:rsidP="008B75C8">
            <w:pPr>
              <w:spacing w:after="0" w:line="240" w:lineRule="auto"/>
              <w:ind w:left="284" w:righ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7" w:type="pct"/>
          </w:tcPr>
          <w:p w:rsidR="008B75C8" w:rsidRPr="008B75C8" w:rsidRDefault="008B75C8" w:rsidP="008B75C8">
            <w:pPr>
              <w:spacing w:after="0" w:line="240" w:lineRule="auto"/>
              <w:ind w:left="683" w:right="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75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8B75C8" w:rsidRPr="008B75C8" w:rsidRDefault="008B75C8" w:rsidP="008B75C8">
            <w:pPr>
              <w:spacing w:after="0" w:line="240" w:lineRule="auto"/>
              <w:ind w:left="683" w:right="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75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отчету по результатам</w:t>
            </w:r>
          </w:p>
          <w:p w:rsidR="008B75C8" w:rsidRPr="008B75C8" w:rsidRDefault="008B75C8" w:rsidP="008B75C8">
            <w:pPr>
              <w:spacing w:after="0" w:line="240" w:lineRule="auto"/>
              <w:ind w:left="683" w:right="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75C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экспертно-аналитического мероприятия от «___»___________20__ г.</w:t>
            </w:r>
          </w:p>
          <w:p w:rsidR="008B75C8" w:rsidRPr="008B75C8" w:rsidRDefault="008B75C8" w:rsidP="008B75C8">
            <w:pPr>
              <w:spacing w:after="0" w:line="240" w:lineRule="auto"/>
              <w:ind w:left="823" w:right="-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B75C8" w:rsidRDefault="008B75C8" w:rsidP="008B75C8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067C0" w:rsidRPr="008A1913" w:rsidRDefault="008A1913" w:rsidP="008A19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913">
        <w:rPr>
          <w:rFonts w:ascii="Times New Roman" w:hAnsi="Times New Roman" w:cs="Times New Roman"/>
          <w:sz w:val="28"/>
          <w:szCs w:val="28"/>
        </w:rPr>
        <w:t xml:space="preserve">Перечень показателей, процедура оценки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8A1913">
        <w:rPr>
          <w:rFonts w:ascii="Times New Roman" w:hAnsi="Times New Roman" w:cs="Times New Roman"/>
          <w:sz w:val="28"/>
          <w:szCs w:val="28"/>
        </w:rPr>
        <w:t xml:space="preserve">и результаты расчетов в рамках мониторинга ТОР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8A1913">
        <w:rPr>
          <w:rFonts w:ascii="Times New Roman" w:hAnsi="Times New Roman" w:cs="Times New Roman"/>
          <w:sz w:val="28"/>
          <w:szCs w:val="28"/>
        </w:rPr>
        <w:t>Счетной палаты Российской Федерации</w:t>
      </w:r>
    </w:p>
    <w:p w:rsidR="006A7444" w:rsidRDefault="006A7444" w:rsidP="006A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444">
        <w:rPr>
          <w:rFonts w:ascii="Times New Roman" w:eastAsia="Calibri" w:hAnsi="Times New Roman" w:cs="Times New Roman"/>
          <w:sz w:val="28"/>
          <w:szCs w:val="28"/>
        </w:rPr>
        <w:t xml:space="preserve">1. Для целей оценки Счетной палатой Российской Федерации </w:t>
      </w:r>
      <w:r w:rsidR="00E06B17">
        <w:rPr>
          <w:rFonts w:ascii="Times New Roman" w:eastAsia="Calibri" w:hAnsi="Times New Roman" w:cs="Times New Roman"/>
          <w:sz w:val="28"/>
          <w:szCs w:val="28"/>
        </w:rPr>
        <w:br/>
      </w:r>
      <w:r w:rsidRPr="006A7444">
        <w:rPr>
          <w:rFonts w:ascii="Times New Roman" w:eastAsia="Calibri" w:hAnsi="Times New Roman" w:cs="Times New Roman"/>
          <w:sz w:val="28"/>
          <w:szCs w:val="28"/>
        </w:rPr>
        <w:t xml:space="preserve">из 22 существующих ТОР отобраны 14 ТОР, созданные в 2015 и 2016 году, </w:t>
      </w:r>
      <w:r w:rsidR="00E06B17">
        <w:rPr>
          <w:rFonts w:ascii="Times New Roman" w:eastAsia="Calibri" w:hAnsi="Times New Roman" w:cs="Times New Roman"/>
          <w:sz w:val="28"/>
          <w:szCs w:val="28"/>
        </w:rPr>
        <w:br/>
      </w:r>
      <w:r w:rsidRPr="006A7444">
        <w:rPr>
          <w:rFonts w:ascii="Times New Roman" w:eastAsia="Calibri" w:hAnsi="Times New Roman" w:cs="Times New Roman"/>
          <w:sz w:val="28"/>
          <w:szCs w:val="28"/>
        </w:rPr>
        <w:t xml:space="preserve">а именно: </w:t>
      </w:r>
      <w:r w:rsidRPr="006A7444">
        <w:rPr>
          <w:rFonts w:ascii="Times New Roman" w:eastAsia="Calibri" w:hAnsi="Times New Roman" w:cs="Times New Roman"/>
          <w:spacing w:val="-4"/>
          <w:sz w:val="28"/>
          <w:szCs w:val="28"/>
        </w:rPr>
        <w:t>«Амуро-Хинганская» (с 2016 года), «Белогорск» (с 2015 года), «Большой Камень»</w:t>
      </w:r>
      <w:r w:rsidRPr="006A7444">
        <w:rPr>
          <w:rFonts w:ascii="Times New Roman" w:eastAsia="Calibri" w:hAnsi="Times New Roman" w:cs="Times New Roman"/>
          <w:sz w:val="28"/>
          <w:szCs w:val="28"/>
        </w:rPr>
        <w:t xml:space="preserve"> (с 2016 года), «Горный воздух» (с 2016 года), «Камчатка» </w:t>
      </w:r>
      <w:r w:rsidR="00E06B17">
        <w:rPr>
          <w:rFonts w:ascii="Times New Roman" w:eastAsia="Calibri" w:hAnsi="Times New Roman" w:cs="Times New Roman"/>
          <w:sz w:val="28"/>
          <w:szCs w:val="28"/>
        </w:rPr>
        <w:br/>
      </w:r>
      <w:r w:rsidRPr="006A7444">
        <w:rPr>
          <w:rFonts w:ascii="Times New Roman" w:eastAsia="Calibri" w:hAnsi="Times New Roman" w:cs="Times New Roman"/>
          <w:sz w:val="28"/>
          <w:szCs w:val="28"/>
        </w:rPr>
        <w:t xml:space="preserve">(с 2015 года), «Комсомольск» (с 2015 года), «Михайловский» (с 2015 года), «Надеждинская» (с 2015 года), «Приамурская» (с 2015 года), «Хабаровск» </w:t>
      </w:r>
      <w:r w:rsidR="00E06B17">
        <w:rPr>
          <w:rFonts w:ascii="Times New Roman" w:eastAsia="Calibri" w:hAnsi="Times New Roman" w:cs="Times New Roman"/>
          <w:sz w:val="28"/>
          <w:szCs w:val="28"/>
        </w:rPr>
        <w:br/>
      </w:r>
      <w:r w:rsidRPr="006A7444">
        <w:rPr>
          <w:rFonts w:ascii="Times New Roman" w:eastAsia="Calibri" w:hAnsi="Times New Roman" w:cs="Times New Roman"/>
          <w:sz w:val="28"/>
          <w:szCs w:val="28"/>
        </w:rPr>
        <w:t>(с 2015 года), «Чукотка» (с 2015 года), «Южная» (с 2016 года), «Южная Якутия» (с 2016 года) и «Якутия» (с 2015 года).</w:t>
      </w:r>
    </w:p>
    <w:p w:rsidR="006B5E37" w:rsidRPr="006A7444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При определении методики анализа и формировании состава показателей для анализа применялс</w:t>
      </w:r>
      <w:r w:rsidR="004067C0">
        <w:rPr>
          <w:rFonts w:ascii="Times New Roman" w:eastAsia="Calibri" w:hAnsi="Times New Roman" w:cs="Times New Roman"/>
          <w:sz w:val="28"/>
          <w:szCs w:val="28"/>
        </w:rPr>
        <w:t>я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метод опроса экспертов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43C8">
        <w:rPr>
          <w:rFonts w:ascii="Times New Roman" w:eastAsia="Calibri" w:hAnsi="Times New Roman" w:cs="Times New Roman"/>
          <w:sz w:val="28"/>
          <w:szCs w:val="28"/>
        </w:rPr>
        <w:t xml:space="preserve">в том числе проведены </w:t>
      </w:r>
      <w:r w:rsidR="00DF43C8">
        <w:rPr>
          <w:rFonts w:ascii="Times New Roman" w:eastAsia="Calibri" w:hAnsi="Times New Roman" w:cs="Times New Roman"/>
          <w:sz w:val="28"/>
          <w:szCs w:val="28"/>
        </w:rPr>
        <w:br/>
        <w:t>две стратегические сессии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444" w:rsidRPr="006A7444" w:rsidRDefault="00DF43C8" w:rsidP="006A7444">
      <w:pPr>
        <w:spacing w:after="0" w:line="360" w:lineRule="auto"/>
        <w:ind w:firstLine="709"/>
        <w:jc w:val="both"/>
        <w:rPr>
          <w:rFonts w:ascii="Calibri" w:eastAsia="Calibri" w:hAnsi="Calibri" w:cs="Times New Roman"/>
          <w:bCs/>
        </w:rPr>
      </w:pPr>
      <w:r w:rsidRPr="00EA2B3D">
        <w:rPr>
          <w:rFonts w:ascii="Times New Roman" w:eastAsia="Times New Roman" w:hAnsi="Times New Roman"/>
          <w:bCs/>
          <w:sz w:val="28"/>
          <w:szCs w:val="24"/>
          <w:lang w:eastAsia="ru-RU"/>
        </w:rPr>
        <w:t>По отобранным ТОР одновременно производил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</w:t>
      </w:r>
      <w:r w:rsidRPr="00EA2B3D">
        <w:rPr>
          <w:rFonts w:ascii="Times New Roman" w:eastAsia="Times New Roman" w:hAnsi="Times New Roman"/>
          <w:bCs/>
          <w:sz w:val="28"/>
          <w:szCs w:val="24"/>
          <w:lang w:eastAsia="ru-RU"/>
        </w:rPr>
        <w:t>сь оценк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</w:t>
      </w:r>
      <w:r w:rsidRPr="004D6CF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двух типов</w:t>
      </w:r>
      <w:r w:rsidRPr="00EA2B3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 w:rsidRPr="00EA2B3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 части полученного результата их функционирования и в части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 w:rsidRPr="00EA2B3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потенциала социально-экономического развития соответствующего субъекта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br/>
      </w:r>
      <w:r w:rsidRPr="00EA2B3D">
        <w:rPr>
          <w:rFonts w:ascii="Times New Roman" w:eastAsia="Times New Roman" w:hAnsi="Times New Roman"/>
          <w:bCs/>
          <w:sz w:val="28"/>
          <w:szCs w:val="24"/>
          <w:lang w:eastAsia="ru-RU"/>
        </w:rPr>
        <w:t>Российской Федерации, входящего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EA2B3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в состав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Дальневосточного федерального округа (далее – ДФО)</w:t>
      </w:r>
      <w:r w:rsidRPr="00EA2B3D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EA2B3D">
        <w:rPr>
          <w:rFonts w:ascii="Times New Roman" w:hAnsi="Times New Roman"/>
          <w:bCs/>
          <w:sz w:val="28"/>
          <w:szCs w:val="28"/>
        </w:rPr>
        <w:t>В рамках направлений оценки определены показатели социально-трудовой и инвестиционной привлекательности отобранных ТОР.</w:t>
      </w:r>
    </w:p>
    <w:p w:rsidR="006B5E37" w:rsidRPr="006B5E37" w:rsidRDefault="00E34ACD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A7444" w:rsidRPr="006A7444">
        <w:rPr>
          <w:rFonts w:ascii="Times New Roman" w:eastAsia="Calibri" w:hAnsi="Times New Roman" w:cs="Times New Roman"/>
          <w:sz w:val="28"/>
          <w:szCs w:val="28"/>
        </w:rPr>
        <w:t>. </w:t>
      </w:r>
      <w:r w:rsidR="006B5E37" w:rsidRPr="006B5E37">
        <w:rPr>
          <w:rFonts w:ascii="Times New Roman" w:eastAsia="Calibri" w:hAnsi="Times New Roman" w:cs="Times New Roman"/>
          <w:sz w:val="28"/>
          <w:szCs w:val="28"/>
        </w:rPr>
        <w:t>Для расчета социально-трудового результата и потенциала развития ТОР выбраны следующие показатели.</w:t>
      </w:r>
    </w:p>
    <w:p w:rsidR="006B5E37" w:rsidRPr="006B5E37" w:rsidRDefault="006B5E37" w:rsidP="006B5E37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Показатели для расчета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социально-трудового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результата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развития ТОР: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количество новых рабочих мест, фактически созданных резидентами ТОР, к 1 января 2021 года, накопленным итогом, тыс. ед.;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отношение среднемесячной номинальной начисленной заработной платы работников резидентов к среднемесячной начисленной заработной плате лиц, работающих в муниципальных образованиях, входящих в ТОР,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за 2020 год,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отношение среднемесячной номинальной начисленной заработной платы работников резидентов к среднемесячной начисленной заработной плате лиц, работающих в субъекте Российской Федерации, за 2020 год;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- производительность труда (валовая добавленная стоимость резидентов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в расчете на одно новое рабочее место в эквиваленте полной занятости, накопленным итогом к 1 января 2021 года, млн рублей.</w:t>
      </w:r>
    </w:p>
    <w:p w:rsidR="006B5E37" w:rsidRPr="006B5E37" w:rsidRDefault="006B5E37" w:rsidP="006B5E37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Показатели для расчета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социально-трудового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потенциала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развития ТОР: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доступность приобретения 1 кв. м общей площади квартир на рынке жилья, в том числе по отношению к ДФО и по отношению к РФ;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потенциальная рабочая сила на 1 января 2020 года, тыс. человек;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численность населения в возрасте 22 - 39 лет в общей численности населения, на 1 января 2021 года,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возможности для образования (количество вузов);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доля трудовых ресурсов в возрасте 22 лет и старше, имеющие среднее профессиональное и высшее образование, в общей численности трудовых ресурсов соответствующего возраста за 2020 год,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индекс развития человеческого капитала на Дальнем Востоке;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индекс качества городской среды;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</w:t>
      </w:r>
      <w:r w:rsidRPr="006B5E37">
        <w:rPr>
          <w:rFonts w:ascii="Times New Roman" w:eastAsia="Calibri" w:hAnsi="Times New Roman" w:cs="Times New Roman"/>
          <w:spacing w:val="-10"/>
          <w:sz w:val="28"/>
          <w:szCs w:val="28"/>
        </w:rPr>
        <w:t>качество окружающей среды в субъекте Российской Федерации, за 2020 год.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Выбранные показатели охватывают широкий диапазон характеристик рассматриваемых территорий и подобраны с учетом минимизации возможных пересечений характеризуемых ими сущностей. Так, например, показатель «численность населения в возрасте 22 - 39 лет в общей численности населения» в большей степени отражает уровень демографического старения территории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 xml:space="preserve">в целом, тогда как «доля трудовых ресурсов в возрасте 22 лет и старше, имеющие среднее профессиональное и высшее образование, в общей </w:t>
      </w:r>
      <w:r w:rsidRPr="006B5E37">
        <w:rPr>
          <w:rFonts w:ascii="Times New Roman" w:eastAsia="Calibri" w:hAnsi="Times New Roman" w:cs="Times New Roman"/>
          <w:sz w:val="28"/>
          <w:szCs w:val="28"/>
        </w:rPr>
        <w:lastRenderedPageBreak/>
        <w:t>численности трудовых ресурсов соответствующего возраста» – характеризует уровень профессиональной подготовки работников.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Для расчета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инвестиционного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результата и потенциала развития ТОР выбраны следующие показатели, непосредственно характеризующие экономические аспекты развития выбранных ТОР за период с их создания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до 2021 года (накопленным итогом). До создания ТОР (до 2015 года) указанные показатели не применялись.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Показатели для расчета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инвестиционного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результата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развития ТОР: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объем налоговых расходов Российской Федерации, приходящихся на одно созданное рабочее место, накопленным итогом на 1 января 2021 года, млн рублей</w:t>
      </w:r>
      <w:r w:rsidR="00074195">
        <w:rPr>
          <w:rFonts w:ascii="Times New Roman" w:eastAsia="Calibri" w:hAnsi="Times New Roman" w:cs="Times New Roman"/>
          <w:sz w:val="28"/>
          <w:szCs w:val="28"/>
        </w:rPr>
        <w:t>, в текущих ценах</w:t>
      </w:r>
      <w:r w:rsidRPr="006B5E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объем поступлений налогов, сборов и иных обязательных платежей в консолидированный бюджет Российской Федерации с ТОР, приходящийся на одно созданное рабочее место, накопленным итогом на 1 января 2021 года, млн рублей</w:t>
      </w:r>
      <w:r w:rsidR="00074195">
        <w:rPr>
          <w:rFonts w:ascii="Times New Roman" w:eastAsia="Calibri" w:hAnsi="Times New Roman" w:cs="Times New Roman"/>
          <w:sz w:val="28"/>
          <w:szCs w:val="28"/>
        </w:rPr>
        <w:t>, в текущих ценах</w:t>
      </w:r>
      <w:r w:rsidRPr="006B5E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- соотношение валовой добавленной стоимости резидентов ТОР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и инвестиций в основной капитал (без учета бюджетных средств), накопленным итогом на 1 января 2021 года;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- доля фактического объема затрат на финансовое обеспечение мероприятий по строительству инженерной и транспортной инфраструктуры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за счет средств федерального бюджета и средств бюджета субъекта Российской Федерации от утвержденного планового объема,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доля фактического объема затрат на финансовое обеспечение мероприятий по строительству инженерной и транспортной инфраструктуры за счет средств федерального бюджета от утвержденного планового объема,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- доля фактического объема затрат на финансовое обеспечение мероприятий по строительству инженерной и транспортной инфраструктуры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за счет средств бюджета субъекта Российской Федерации от утвержденного планового объема,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доля площади ТОР, имеющей утвержденную документацию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по планировке территории,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доля инфраструктурных объектов, введенных в эксплуатацию от общего количества инфраструктурных объектов, на которые акционерным обществом «Корпорация развития Дальнего Востока и Арктики» получено разрешение на строительство,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доля резидентов ТОР, вышедших на проектную мощность;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количество заявок, поданных на получение статуса резидента ТОР, накопленным итогом, на 1 июля 2021 года;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доля фактических частных инвестиций резидентов ТОР в общем объеме запланированных инвестиций резидентов ТОСЭР в соответствии с соглашениями об осуществлении деятельности, на 1 июля 2021 года;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доля фактических иностранных инвестиций резидентов ТОР в общем объеме фактических частных инвестиций резидентов ТОР, %;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- доля фактически созданных новых рабочих мест резидентов ТОР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в общем объеме запланированных к сознанию новых рабочих мест резидентов ТОР в соответствии с соглашениями об осуществлении деятельности, на 1 июля 2021 года.</w:t>
      </w:r>
    </w:p>
    <w:p w:rsidR="006B5E37" w:rsidRPr="006B5E37" w:rsidRDefault="006B5E37" w:rsidP="006B5E37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Показатели для расчета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инвестиционного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E37">
        <w:rPr>
          <w:rFonts w:ascii="Times New Roman" w:eastAsia="Calibri" w:hAnsi="Times New Roman" w:cs="Times New Roman"/>
          <w:i/>
          <w:sz w:val="28"/>
          <w:szCs w:val="28"/>
        </w:rPr>
        <w:t>потенциала</w:t>
      </w: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 развития ТОР: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ранг по уровню содействия развитию конкуренции, на 1 января 2020 года (ФАС России);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уровень развития ГЧП (Минэкономразвития России), 2020 год;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ранги составляющих инвестиционного потенциала субъектов Российской Федерации в 2020 году (RAEX) (потребительский, производственный, финансовый, институциональный, инновационный, инфраструктурный, природно-ресурсный, туристический).</w:t>
      </w:r>
    </w:p>
    <w:p w:rsidR="006B5E37" w:rsidRPr="006B5E37" w:rsidRDefault="006B5E37" w:rsidP="006B5E37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Сбор данных для анализа осуществлен следующими методами: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 xml:space="preserve">- получение данных из открытых источников (Интернет-сайт Росстата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 xml:space="preserve">и иных государственных органов и организаций, предоставляющих в сети Интернет открытую информацию в части «социально-экономических»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</w:r>
      <w:r w:rsidRPr="006B5E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«инвестиционных» показателей в разрезе субъектов Российской Федерации, </w:t>
      </w:r>
      <w:r w:rsidRPr="006B5E37">
        <w:rPr>
          <w:rFonts w:ascii="Times New Roman" w:eastAsia="Calibri" w:hAnsi="Times New Roman" w:cs="Times New Roman"/>
          <w:sz w:val="28"/>
          <w:szCs w:val="28"/>
        </w:rPr>
        <w:br/>
        <w:t>а также муниципальных образований);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E37">
        <w:rPr>
          <w:rFonts w:ascii="Times New Roman" w:eastAsia="Calibri" w:hAnsi="Times New Roman" w:cs="Times New Roman"/>
          <w:sz w:val="28"/>
          <w:szCs w:val="28"/>
        </w:rPr>
        <w:t>- получение данных по запросу (от акционерного общества «Корпорация развития Дальнего Востока и Арктики»).</w:t>
      </w:r>
    </w:p>
    <w:p w:rsidR="006A7444" w:rsidRPr="006A7444" w:rsidRDefault="006A7444" w:rsidP="006A74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444">
        <w:rPr>
          <w:rFonts w:ascii="Times New Roman" w:eastAsia="Calibri" w:hAnsi="Times New Roman" w:cs="Times New Roman"/>
          <w:sz w:val="28"/>
          <w:szCs w:val="28"/>
        </w:rPr>
        <w:t xml:space="preserve">Информация о показателях, использовавшихся для расчета </w:t>
      </w:r>
      <w:r w:rsidRPr="006A7444">
        <w:rPr>
          <w:rFonts w:ascii="Times New Roman" w:eastAsia="Calibri" w:hAnsi="Times New Roman" w:cs="Times New Roman"/>
          <w:sz w:val="28"/>
          <w:szCs w:val="28"/>
        </w:rPr>
        <w:br/>
        <w:t>социально-трудового результата и потенциала развития ТОР, и их значениях представлена в</w:t>
      </w:r>
      <w:r w:rsidR="00525AFE">
        <w:rPr>
          <w:rFonts w:ascii="Times New Roman" w:eastAsia="Calibri" w:hAnsi="Times New Roman" w:cs="Times New Roman"/>
          <w:sz w:val="28"/>
          <w:szCs w:val="28"/>
        </w:rPr>
        <w:t xml:space="preserve"> следующей </w:t>
      </w:r>
      <w:r w:rsidRPr="006A7444">
        <w:rPr>
          <w:rFonts w:ascii="Times New Roman" w:eastAsia="Calibri" w:hAnsi="Times New Roman" w:cs="Times New Roman"/>
          <w:sz w:val="28"/>
          <w:szCs w:val="28"/>
        </w:rPr>
        <w:t>таблице</w:t>
      </w:r>
      <w:r w:rsidR="00E06B17" w:rsidRPr="00E06B17">
        <w:rPr>
          <w:rFonts w:ascii="Times New Roman" w:eastAsia="Calibri" w:hAnsi="Times New Roman" w:cs="Times New Roman"/>
          <w:sz w:val="28"/>
          <w:szCs w:val="28"/>
          <w:vertAlign w:val="superscript"/>
        </w:rPr>
        <w:t>**</w:t>
      </w:r>
      <w:r w:rsidRPr="006A744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545" w:type="dxa"/>
        <w:tblInd w:w="-318" w:type="dxa"/>
        <w:tblLook w:val="04A0" w:firstRow="1" w:lastRow="0" w:firstColumn="1" w:lastColumn="0" w:noHBand="0" w:noVBand="1"/>
      </w:tblPr>
      <w:tblGrid>
        <w:gridCol w:w="2059"/>
        <w:gridCol w:w="601"/>
        <w:gridCol w:w="578"/>
        <w:gridCol w:w="601"/>
        <w:gridCol w:w="601"/>
        <w:gridCol w:w="601"/>
        <w:gridCol w:w="648"/>
        <w:gridCol w:w="601"/>
        <w:gridCol w:w="601"/>
        <w:gridCol w:w="578"/>
        <w:gridCol w:w="601"/>
        <w:gridCol w:w="601"/>
        <w:gridCol w:w="648"/>
        <w:gridCol w:w="578"/>
        <w:gridCol w:w="648"/>
      </w:tblGrid>
      <w:tr w:rsidR="00E06B17" w:rsidRPr="005C1B1F" w:rsidTr="00C160FB">
        <w:trPr>
          <w:trHeight w:val="242"/>
          <w:tblHeader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Показатель</w:t>
            </w:r>
          </w:p>
        </w:tc>
        <w:tc>
          <w:tcPr>
            <w:tcW w:w="84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ТОР</w:t>
            </w:r>
          </w:p>
        </w:tc>
      </w:tr>
      <w:tr w:rsidR="00E06B17" w:rsidRPr="005C1B1F" w:rsidTr="00C160FB">
        <w:trPr>
          <w:cantSplit/>
          <w:trHeight w:val="1275"/>
          <w:tblHeader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«Амуро-Хинганская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«Белогорск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</w:t>
            </w: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 Камень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«Горный воздух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</w:t>
            </w: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Камчатка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«Комсомольск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</w:t>
            </w: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Михайловский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«Надеждинская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«Приамурская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«Хабаровск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</w:t>
            </w: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Чукотка</w:t>
            </w:r>
            <w:r w:rsidRPr="005C1B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«Южная»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«Южная Якутия»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6B17" w:rsidRPr="00D568AD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68A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«Якутия»</w:t>
            </w:r>
          </w:p>
        </w:tc>
      </w:tr>
      <w:tr w:rsidR="00E06B17" w:rsidRPr="005C1B1F" w:rsidTr="008A1913">
        <w:trPr>
          <w:trHeight w:val="48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Год создания ТОР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</w:tr>
      <w:tr w:rsidR="00E06B17" w:rsidRPr="005C1B1F" w:rsidTr="00C160FB">
        <w:trPr>
          <w:trHeight w:val="270"/>
        </w:trPr>
        <w:tc>
          <w:tcPr>
            <w:tcW w:w="105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 для расчета социально-трудового результата развития ТОР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Количество новых рабочих мест, фактически созданных резидентами ТОР, к 1 января 2021 года, накопленным итогом, тыс. ед.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0,4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Отношение среднемесячной номинальной начисленной заработной платы работников резидентов к среднемесячной начисленной заработной плате лиц, работающих в муниципальных образованиях, входящих в ТОР, за 2020 год, %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Отношение среднемесячной номинальной начисленной заработной платы работников резидентов к среднемесячной начисленной заработной плате лиц, работающих в субъекте Российской Федерации, за 2020 год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Производительность труда (валовая добавленная стоимость резидентов в расчете на одно новое рабочее место в эквиваленте полной занятости, накопленным итогом к 1 января 2021 года, млн рублей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</w:tr>
      <w:tr w:rsidR="00E06B17" w:rsidRPr="005C1B1F" w:rsidTr="00C160FB">
        <w:trPr>
          <w:trHeight w:val="270"/>
        </w:trPr>
        <w:tc>
          <w:tcPr>
            <w:tcW w:w="105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 для расчета социально-трудового потенциала развития ТОР в субъекте Российской Федерации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Доступность приобретения 1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кв. м общей площади квартир на рынке жилья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06B17" w:rsidRPr="005C1B1F" w:rsidTr="00C160FB">
        <w:trPr>
          <w:trHeight w:val="186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по отношению к ДФО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0,03</w:t>
            </w:r>
          </w:p>
        </w:tc>
      </w:tr>
      <w:tr w:rsidR="00E06B17" w:rsidRPr="005C1B1F" w:rsidTr="00C160FB">
        <w:trPr>
          <w:trHeight w:val="146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по отношению к Р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оссийской 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-0,29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-0,12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Потенциальная рабочая сила на 1 января 2020 года, тыс. человек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Численность населения в возрасте 22 - 39 лет в общей численности населения, 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 1 января 2021 года, %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11,4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Возможности для образования (количество вузов)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Доля трудовых ресурсов в возрасте 22 лет и старше, имеющие среднее профессиональное и высшее образование, в общей 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численности трудовых ресурсов соответствующего возраста за 2020 год , %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72,3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76,1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Индекс развития человеческого капитала на Дальнем Востоке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46,8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Индекс качества городской среды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162,0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161,0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158,5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168,3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162,0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181,0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«</w:t>
            </w:r>
            <w:r w:rsidRPr="00011FF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Качество окружающей среды в субъекте Российской Федерации, за 2020 год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100,54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102,68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103,58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102,68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102,68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103,58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98,88</w:t>
            </w:r>
          </w:p>
        </w:tc>
      </w:tr>
      <w:tr w:rsidR="00E06B17" w:rsidRPr="005C1B1F" w:rsidTr="00C160FB">
        <w:trPr>
          <w:trHeight w:val="319"/>
        </w:trPr>
        <w:tc>
          <w:tcPr>
            <w:tcW w:w="105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 для расчета инвестиционного результата развития ТОР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0741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Объем налоговых расходов Российской Федерации, приходящихся на одно созданное рабочее место, млн рублей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="00074195" w:rsidRPr="00074195">
              <w:rPr>
                <w:rFonts w:ascii="Times New Roman" w:hAnsi="Times New Roman"/>
                <w:sz w:val="14"/>
                <w:szCs w:val="14"/>
              </w:rPr>
              <w:t>, в текущих ценах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-1,4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-1,0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-1,0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-0,2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07419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Объем поступлений налогов, сборов и иных обязательных платежей в консолидированный бюджет Российской Федерации с ТОР, приходящийся на одно созданное рабочее место, млн рублей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="00074195" w:rsidRPr="00074195">
              <w:rPr>
                <w:rFonts w:ascii="Times New Roman" w:hAnsi="Times New Roman"/>
                <w:sz w:val="14"/>
                <w:szCs w:val="14"/>
              </w:rPr>
              <w:t>, в текущих ценах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26,1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0,2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Соотношение валовой добавленной стоимости резидентов ТОР и инвестиций в основной капитал (без учета бюджетных средств), накопленным итогом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 xml:space="preserve"> на 1 января 2021 года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Доля фактического объема затрат на финансовое обеспечение мероприятий по строительству инженерной и транспортной инфраструктуры за счет средств федерального бюджета и средств бюджета субъекта Российской Федерации от утвержденного планового объема, %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44,7%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52,7%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53,0%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64,0%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76,2%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68,3%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67,3%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68,6%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111,1%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32,3%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118,1%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Доля фактического объема затрат на финансовое обеспечение мероприятий по строительству инженерной и транспортной инфраструктуры за счет средств федерального бюджета от утвержденного планового объема, %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43,5%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52,7%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64,7%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68,0%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82,3%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73,9%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64,9%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32,3%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92,8%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Доля фактического объема затрат на финансовое обеспечение мероприятий по строительству инженерной и транспортной инфраструктуры за счет средств бюджета субъекта Российской Федерации от утвержденного планового объема, %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НП*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67,4%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53,0%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62,3%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100,7%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38,7%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47,1%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НП*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73,9%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НП*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111,1%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НП*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267,0%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Доля площади ТОР, имеющей утвержденную документацию по планировке территории, %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7,1%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9,0%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3,4%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Доля инфраструктурных объектов, введенных в эксплуатацию от общего количества инфраструктурных объектов, на которые АО «КРДВиА» получено разрешение на строительство, %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12,5%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33,3%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100,0%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Доля резидентов ТОР, вышедших на проектную мощность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33,3%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44,4%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36,8%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14,8%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18,3%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40,0%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27,8%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10,4%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28,6%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52,5%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36,4%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44,4%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73,3%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45,8%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Количество заявок, поданных на получение статуса резидента ТОР, накопленным итогом,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 xml:space="preserve"> на 1 июля 2021 года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464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 xml:space="preserve">Доля фактических частных инвестиций резидентов ТОР в общем объеме запланированных инвестиций резидентов ТОР в соответствии с соглашениями об осуществлении деятельности, на 1 июля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2021 года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20,3%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74,0%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48,6%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28,2%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12,5%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57,5%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37,0%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26,7%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13,9%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53,3%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23,2%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40,0%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51,3%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14,8%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Доля фактических иностранных инвестиций резидентов ТОР в общем объеме фактических частных инвестиций резидентов ТОР, %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16,5%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1,6%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46,1%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10,7%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43,2%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24,2%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65,0%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Доля фактических созданных новых рабочих мест резидентов ТОР в общем объеме запланированных к сознанию новых рабочих мест резидентов ТОР в соответствии с соглашениями об осуществлении деятельности, на 1 июля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 xml:space="preserve"> 2021 года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11,9%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79,1%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58,5%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18,3%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49,3%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64,9%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32,7%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17,1%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21,2%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52,3%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34,8%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59,3%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81,5%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28,7%</w:t>
            </w:r>
          </w:p>
        </w:tc>
      </w:tr>
      <w:tr w:rsidR="00E06B17" w:rsidRPr="005C1B1F" w:rsidTr="00C160FB">
        <w:trPr>
          <w:trHeight w:val="319"/>
        </w:trPr>
        <w:tc>
          <w:tcPr>
            <w:tcW w:w="105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11FF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 для расчета инвестиционного потенциала развития ТОР в субъекте Российской Федерации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 xml:space="preserve">Ранг по уровню содействия развитию конкуренции,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на 1 января 2020 года (ФАС России)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Уровень развития ГЧП (Минэкономразвития России), 2020 год, место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</w:tr>
      <w:tr w:rsidR="00E06B17" w:rsidRPr="005C1B1F" w:rsidTr="00C160FB">
        <w:trPr>
          <w:trHeight w:val="39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Ранги составляющих инвестиционного потенциала субъектов Российской Федерации в 2020 году (RAEX)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6B17" w:rsidRPr="005C1B1F" w:rsidTr="00C160FB">
        <w:trPr>
          <w:trHeight w:val="28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отребительский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</w:tr>
      <w:tr w:rsidR="00E06B17" w:rsidRPr="005C1B1F" w:rsidTr="00C160FB">
        <w:trPr>
          <w:trHeight w:val="28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роизводственный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58</w:t>
            </w:r>
          </w:p>
        </w:tc>
      </w:tr>
      <w:tr w:rsidR="00E06B17" w:rsidRPr="005C1B1F" w:rsidTr="00C160FB">
        <w:trPr>
          <w:trHeight w:val="28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инансовый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</w:tr>
      <w:tr w:rsidR="00E06B17" w:rsidRPr="005C1B1F" w:rsidTr="00C160FB">
        <w:trPr>
          <w:trHeight w:val="28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нституциональный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</w:tr>
      <w:tr w:rsidR="00E06B17" w:rsidRPr="005C1B1F" w:rsidTr="00C160FB">
        <w:trPr>
          <w:trHeight w:val="28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нновационный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E06B17" w:rsidRPr="005C1B1F" w:rsidTr="00C160FB">
        <w:trPr>
          <w:trHeight w:val="28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нфраструктурный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E06B17" w:rsidRPr="005C1B1F" w:rsidTr="00C160FB">
        <w:trPr>
          <w:trHeight w:val="28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риродно-ресурсный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</w:tr>
      <w:tr w:rsidR="00E06B17" w:rsidRPr="005C1B1F" w:rsidTr="00C160FB">
        <w:trPr>
          <w:trHeight w:val="28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17" w:rsidRPr="00011FF5" w:rsidRDefault="00E06B17" w:rsidP="00C160FB">
            <w:pPr>
              <w:spacing w:after="0" w:line="240" w:lineRule="auto"/>
              <w:ind w:left="17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011FF5">
              <w:rPr>
                <w:rFonts w:ascii="Times New Roman" w:hAnsi="Times New Roman"/>
                <w:sz w:val="14"/>
                <w:szCs w:val="14"/>
              </w:rPr>
              <w:t>уристический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17" w:rsidRPr="00011FF5" w:rsidRDefault="00E06B17" w:rsidP="00C160F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FF5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</w:tr>
    </w:tbl>
    <w:p w:rsidR="00E06B17" w:rsidRPr="005C1B1F" w:rsidRDefault="00E06B17" w:rsidP="00E06B17">
      <w:pPr>
        <w:spacing w:before="120" w:after="0" w:line="360" w:lineRule="auto"/>
        <w:ind w:left="-425" w:firstLine="692"/>
        <w:jc w:val="both"/>
        <w:rPr>
          <w:rFonts w:ascii="Times New Roman" w:hAnsi="Times New Roman"/>
          <w:sz w:val="20"/>
          <w:szCs w:val="20"/>
        </w:rPr>
      </w:pPr>
      <w:r w:rsidRPr="005C1B1F">
        <w:rPr>
          <w:rFonts w:ascii="Times New Roman" w:hAnsi="Times New Roman"/>
          <w:sz w:val="20"/>
          <w:szCs w:val="20"/>
        </w:rPr>
        <w:t xml:space="preserve">*НП – не предусмотрено. </w:t>
      </w:r>
    </w:p>
    <w:p w:rsidR="006A7444" w:rsidRDefault="00E06B17" w:rsidP="00E06B17">
      <w:pPr>
        <w:spacing w:after="120" w:line="240" w:lineRule="auto"/>
        <w:ind w:left="-426" w:firstLine="691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5C1B1F">
        <w:rPr>
          <w:rFonts w:ascii="Times New Roman" w:hAnsi="Times New Roman"/>
          <w:sz w:val="20"/>
          <w:szCs w:val="20"/>
        </w:rPr>
        <w:t>**Источник: официальная статистика Росстата, ЕМИСС, официальная, размещаемая в информационно-телекоммуникационной сети «Интернет» информация ФАС России, Минэкономразвития России, рейтингового агентства «Эксперт РА», АНО «АРЧК» и ВЦИОМ, информация, полученная по запросу от АО «Корпорация развития Дальнего Востока и Арктики».</w:t>
      </w:r>
    </w:p>
    <w:p w:rsidR="006B5E37" w:rsidRPr="00437001" w:rsidRDefault="006B5E37" w:rsidP="006B5E3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E37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437001">
        <w:rPr>
          <w:rFonts w:ascii="Times New Roman" w:hAnsi="Times New Roman" w:cs="Times New Roman"/>
          <w:sz w:val="28"/>
          <w:szCs w:val="28"/>
        </w:rPr>
        <w:t>Оценка социально-трудов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37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инвестиционных </w:t>
      </w:r>
      <w:r w:rsidRPr="0043700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700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7001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7001">
        <w:rPr>
          <w:rFonts w:ascii="Times New Roman" w:hAnsi="Times New Roman" w:cs="Times New Roman"/>
          <w:sz w:val="28"/>
          <w:szCs w:val="28"/>
        </w:rPr>
        <w:t xml:space="preserve"> развития ТОР осуществлена методом статистического анализа.</w:t>
      </w:r>
    </w:p>
    <w:p w:rsidR="006B5E37" w:rsidRPr="00601DF9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F9">
        <w:rPr>
          <w:rFonts w:ascii="Times New Roman" w:hAnsi="Times New Roman" w:cs="Times New Roman"/>
          <w:sz w:val="28"/>
          <w:szCs w:val="28"/>
        </w:rPr>
        <w:t xml:space="preserve">Ко всем полученным выборкам применена функция нормализации </w:t>
      </w:r>
      <w:r w:rsidRPr="00601DF9">
        <w:rPr>
          <w:rFonts w:ascii="Times New Roman" w:hAnsi="Times New Roman" w:cs="Times New Roman"/>
          <w:sz w:val="28"/>
          <w:szCs w:val="28"/>
        </w:rPr>
        <w:br/>
        <w:t>на основе среднего арифметического и стандартного отклонения распределения анализируемых показателей (по выборке из 14 ТОР) по следующей формуле:</w:t>
      </w:r>
    </w:p>
    <w:p w:rsidR="006B5E37" w:rsidRPr="00601DF9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601DF9">
        <w:rPr>
          <w:rFonts w:ascii="Times New Roman" w:hAnsi="Times New Roman" w:cs="Times New Roman"/>
          <w:i/>
          <w:sz w:val="28"/>
          <w:szCs w:val="28"/>
        </w:rPr>
        <w:t xml:space="preserve"> = (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01DF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601DF9">
        <w:rPr>
          <w:rFonts w:ascii="Times New Roman" w:hAnsi="Times New Roman" w:cs="Times New Roman"/>
          <w:i/>
          <w:sz w:val="28"/>
          <w:szCs w:val="28"/>
        </w:rPr>
        <w:t>-µ)/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σ</w:t>
      </w:r>
      <w:r w:rsidRPr="00601DF9">
        <w:rPr>
          <w:rFonts w:ascii="Times New Roman" w:hAnsi="Times New Roman" w:cs="Times New Roman"/>
          <w:i/>
          <w:sz w:val="28"/>
          <w:szCs w:val="28"/>
        </w:rPr>
        <w:t>,</w:t>
      </w:r>
    </w:p>
    <w:p w:rsidR="006B5E37" w:rsidRPr="00601DF9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F9">
        <w:rPr>
          <w:rFonts w:ascii="Times New Roman" w:hAnsi="Times New Roman" w:cs="Times New Roman"/>
          <w:sz w:val="28"/>
          <w:szCs w:val="28"/>
        </w:rPr>
        <w:t xml:space="preserve">где 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601DF9">
        <w:rPr>
          <w:rFonts w:ascii="Times New Roman" w:hAnsi="Times New Roman" w:cs="Times New Roman"/>
          <w:sz w:val="28"/>
          <w:szCs w:val="28"/>
        </w:rPr>
        <w:t xml:space="preserve"> – нормализованное значение показателя 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01DF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601DF9">
        <w:rPr>
          <w:rFonts w:ascii="Times New Roman" w:hAnsi="Times New Roman" w:cs="Times New Roman"/>
          <w:sz w:val="28"/>
          <w:szCs w:val="28"/>
        </w:rPr>
        <w:t xml:space="preserve"> из выборки 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910BE">
        <w:rPr>
          <w:rFonts w:ascii="Times New Roman" w:hAnsi="Times New Roman" w:cs="Times New Roman"/>
          <w:i/>
          <w:sz w:val="28"/>
          <w:szCs w:val="28"/>
          <w:vertAlign w:val="subscript"/>
        </w:rPr>
        <w:t>(1…</w:t>
      </w:r>
      <w:r w:rsidR="004910B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D</w:t>
      </w:r>
      <w:r w:rsidRPr="00601DF9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  <w:r w:rsidRPr="00601DF9">
        <w:rPr>
          <w:rFonts w:ascii="Times New Roman" w:hAnsi="Times New Roman" w:cs="Times New Roman"/>
          <w:sz w:val="28"/>
          <w:szCs w:val="28"/>
        </w:rPr>
        <w:t>,</w:t>
      </w:r>
    </w:p>
    <w:p w:rsidR="006B5E37" w:rsidRPr="00601DF9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F9">
        <w:rPr>
          <w:rFonts w:ascii="Times New Roman" w:hAnsi="Times New Roman" w:cs="Times New Roman"/>
          <w:i/>
          <w:sz w:val="28"/>
          <w:szCs w:val="28"/>
        </w:rPr>
        <w:t>µ</w:t>
      </w:r>
      <w:r w:rsidRPr="00601DF9">
        <w:rPr>
          <w:rFonts w:ascii="Times New Roman" w:hAnsi="Times New Roman" w:cs="Times New Roman"/>
          <w:sz w:val="28"/>
          <w:szCs w:val="28"/>
        </w:rPr>
        <w:t xml:space="preserve"> – среднее арифметическое выборки анализируемых показателей </w:t>
      </w:r>
      <w:r w:rsidRPr="00601DF9">
        <w:rPr>
          <w:rFonts w:ascii="Times New Roman" w:hAnsi="Times New Roman" w:cs="Times New Roman"/>
          <w:i/>
          <w:sz w:val="28"/>
          <w:szCs w:val="28"/>
        </w:rPr>
        <w:t>(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01DF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601DF9">
        <w:rPr>
          <w:rFonts w:ascii="Times New Roman" w:hAnsi="Times New Roman" w:cs="Times New Roman"/>
          <w:i/>
          <w:sz w:val="28"/>
          <w:szCs w:val="28"/>
        </w:rPr>
        <w:t>)</w:t>
      </w:r>
      <w:r w:rsidRPr="00601DF9">
        <w:rPr>
          <w:rFonts w:ascii="Times New Roman" w:hAnsi="Times New Roman" w:cs="Times New Roman"/>
          <w:sz w:val="28"/>
          <w:szCs w:val="28"/>
        </w:rPr>
        <w:t>,</w:t>
      </w:r>
    </w:p>
    <w:p w:rsidR="006B5E37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DF9">
        <w:rPr>
          <w:rFonts w:ascii="Times New Roman" w:hAnsi="Times New Roman" w:cs="Times New Roman"/>
          <w:i/>
          <w:sz w:val="28"/>
          <w:szCs w:val="28"/>
        </w:rPr>
        <w:t>µ = (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01DF9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01DF9">
        <w:rPr>
          <w:rFonts w:ascii="Times New Roman" w:hAnsi="Times New Roman" w:cs="Times New Roman"/>
          <w:i/>
          <w:sz w:val="28"/>
          <w:szCs w:val="28"/>
        </w:rPr>
        <w:t>+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01DF9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01DF9">
        <w:rPr>
          <w:rFonts w:ascii="Times New Roman" w:hAnsi="Times New Roman" w:cs="Times New Roman"/>
          <w:i/>
          <w:sz w:val="28"/>
          <w:szCs w:val="28"/>
        </w:rPr>
        <w:t>+…+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910B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D</w:t>
      </w:r>
      <w:r w:rsidRPr="00601DF9">
        <w:rPr>
          <w:rFonts w:ascii="Times New Roman" w:hAnsi="Times New Roman" w:cs="Times New Roman"/>
          <w:i/>
          <w:sz w:val="28"/>
          <w:szCs w:val="28"/>
        </w:rPr>
        <w:t>)</w:t>
      </w:r>
      <w:r w:rsidR="00491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DF9">
        <w:rPr>
          <w:rFonts w:ascii="Times New Roman" w:hAnsi="Times New Roman" w:cs="Times New Roman"/>
          <w:i/>
          <w:sz w:val="28"/>
          <w:szCs w:val="28"/>
        </w:rPr>
        <w:t>/</w:t>
      </w:r>
      <w:r w:rsidR="00491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FA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01DF9">
        <w:rPr>
          <w:rFonts w:ascii="Times New Roman" w:hAnsi="Times New Roman" w:cs="Times New Roman"/>
          <w:i/>
          <w:sz w:val="28"/>
          <w:szCs w:val="28"/>
        </w:rPr>
        <w:t>;</w:t>
      </w:r>
    </w:p>
    <w:p w:rsidR="000D1FA3" w:rsidRPr="000D1FA3" w:rsidRDefault="000D1FA3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D1FA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2E1530">
        <w:rPr>
          <w:rFonts w:ascii="Times New Roman" w:hAnsi="Times New Roman" w:cs="Times New Roman"/>
          <w:i/>
          <w:sz w:val="28"/>
          <w:szCs w:val="28"/>
        </w:rPr>
        <w:t>ТОР</w:t>
      </w:r>
      <w:r>
        <w:rPr>
          <w:rFonts w:ascii="Times New Roman" w:hAnsi="Times New Roman" w:cs="Times New Roman"/>
          <w:i/>
          <w:sz w:val="28"/>
          <w:szCs w:val="28"/>
        </w:rPr>
        <w:t>, по которым в</w:t>
      </w:r>
      <w:r w:rsidR="004910B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выборке </w:t>
      </w:r>
      <w:r w:rsidR="004910BE">
        <w:rPr>
          <w:rFonts w:ascii="Times New Roman" w:hAnsi="Times New Roman" w:cs="Times New Roman"/>
          <w:i/>
          <w:sz w:val="28"/>
          <w:szCs w:val="28"/>
        </w:rPr>
        <w:t>присутствуют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данные</w:t>
      </w:r>
      <w:r w:rsidR="00491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1530">
        <w:rPr>
          <w:rFonts w:ascii="Times New Roman" w:hAnsi="Times New Roman" w:cs="Times New Roman"/>
          <w:i/>
          <w:sz w:val="28"/>
          <w:szCs w:val="28"/>
        </w:rPr>
        <w:br/>
      </w:r>
      <w:r w:rsidR="004910BE">
        <w:rPr>
          <w:rFonts w:ascii="Times New Roman" w:hAnsi="Times New Roman" w:cs="Times New Roman"/>
          <w:i/>
          <w:sz w:val="28"/>
          <w:szCs w:val="28"/>
        </w:rPr>
        <w:t xml:space="preserve">(для </w:t>
      </w:r>
      <w:r w:rsidR="002E1530">
        <w:rPr>
          <w:rFonts w:ascii="Times New Roman" w:hAnsi="Times New Roman" w:cs="Times New Roman"/>
          <w:i/>
          <w:sz w:val="28"/>
          <w:szCs w:val="28"/>
        </w:rPr>
        <w:t>выборок</w:t>
      </w:r>
      <w:r w:rsidR="004910BE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2E1530">
        <w:rPr>
          <w:rFonts w:ascii="Times New Roman" w:hAnsi="Times New Roman" w:cs="Times New Roman"/>
          <w:i/>
          <w:sz w:val="28"/>
          <w:szCs w:val="28"/>
        </w:rPr>
        <w:t xml:space="preserve">которых </w:t>
      </w:r>
      <w:r w:rsidR="004910BE">
        <w:rPr>
          <w:rFonts w:ascii="Times New Roman" w:hAnsi="Times New Roman" w:cs="Times New Roman"/>
          <w:i/>
          <w:sz w:val="28"/>
          <w:szCs w:val="28"/>
        </w:rPr>
        <w:t>отсутствуют пропуски</w:t>
      </w:r>
      <w:r w:rsidR="00B00937">
        <w:rPr>
          <w:rFonts w:ascii="Times New Roman" w:hAnsi="Times New Roman" w:cs="Times New Roman"/>
          <w:i/>
          <w:sz w:val="28"/>
          <w:szCs w:val="28"/>
        </w:rPr>
        <w:t xml:space="preserve"> данных</w:t>
      </w:r>
      <w:r w:rsidR="004910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910B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4910BE">
        <w:rPr>
          <w:rFonts w:ascii="Times New Roman" w:hAnsi="Times New Roman" w:cs="Times New Roman"/>
          <w:i/>
          <w:sz w:val="28"/>
          <w:szCs w:val="28"/>
        </w:rPr>
        <w:t>=14)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B5E37" w:rsidRPr="00601DF9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σ</w:t>
      </w:r>
      <w:r w:rsidRPr="00601DF9">
        <w:rPr>
          <w:rFonts w:ascii="Times New Roman" w:hAnsi="Times New Roman" w:cs="Times New Roman"/>
          <w:sz w:val="28"/>
          <w:szCs w:val="28"/>
        </w:rPr>
        <w:t xml:space="preserve"> – стандартное отклонение по выборке анализируемых показателей </w:t>
      </w:r>
      <w:r w:rsidRPr="00601DF9">
        <w:rPr>
          <w:rFonts w:ascii="Times New Roman" w:hAnsi="Times New Roman" w:cs="Times New Roman"/>
          <w:i/>
          <w:sz w:val="28"/>
          <w:szCs w:val="28"/>
        </w:rPr>
        <w:t>(</w:t>
      </w:r>
      <w:r w:rsidRPr="00601DF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01DF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601DF9">
        <w:rPr>
          <w:rFonts w:ascii="Times New Roman" w:hAnsi="Times New Roman" w:cs="Times New Roman"/>
          <w:i/>
          <w:sz w:val="28"/>
          <w:szCs w:val="28"/>
        </w:rPr>
        <w:t>)</w:t>
      </w:r>
      <w:r w:rsidRPr="00601DF9">
        <w:rPr>
          <w:rFonts w:ascii="Times New Roman" w:hAnsi="Times New Roman" w:cs="Times New Roman"/>
          <w:sz w:val="28"/>
          <w:szCs w:val="28"/>
        </w:rPr>
        <w:t>,</w:t>
      </w:r>
    </w:p>
    <w:p w:rsidR="006B5E37" w:rsidRPr="003A5B97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σ</m:t>
        </m:r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-µ)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D-1</m:t>
                </m:r>
              </m:den>
            </m:f>
          </m:e>
        </m:rad>
      </m:oMath>
      <w:r w:rsidRPr="003A5B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2C21" w:rsidRPr="000A2C21" w:rsidRDefault="000A2C21" w:rsidP="000A2C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A2C21">
        <w:rPr>
          <w:rFonts w:ascii="Times New Roman" w:eastAsia="Calibri" w:hAnsi="Times New Roman" w:cs="Times New Roman"/>
          <w:spacing w:val="-8"/>
          <w:sz w:val="28"/>
          <w:szCs w:val="28"/>
        </w:rPr>
        <w:t>Расчет итогового значения приводится без придания весовых коэффициентов.</w:t>
      </w:r>
    </w:p>
    <w:p w:rsidR="006B5E37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Окончательные результаты в виде рассчитанных распределений значений показателей </w:t>
      </w:r>
      <w:r w:rsidRPr="00437001">
        <w:rPr>
          <w:rFonts w:ascii="Times New Roman" w:hAnsi="Times New Roman" w:cs="Times New Roman"/>
          <w:sz w:val="28"/>
          <w:szCs w:val="28"/>
        </w:rPr>
        <w:t>социально-трудов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37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инвестиционных </w:t>
      </w:r>
      <w:r w:rsidRPr="0043700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700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001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7001">
        <w:rPr>
          <w:rFonts w:ascii="Times New Roman" w:hAnsi="Times New Roman" w:cs="Times New Roman"/>
          <w:sz w:val="28"/>
          <w:szCs w:val="28"/>
        </w:rPr>
        <w:t xml:space="preserve"> развития ТОР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525AFE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="00E06B1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1732"/>
        <w:gridCol w:w="1559"/>
        <w:gridCol w:w="1559"/>
        <w:gridCol w:w="1559"/>
      </w:tblGrid>
      <w:tr w:rsidR="006B5E37" w:rsidRPr="000A2C21" w:rsidTr="00525AFE">
        <w:trPr>
          <w:cantSplit/>
          <w:trHeight w:val="516"/>
          <w:tblHeader/>
        </w:trPr>
        <w:tc>
          <w:tcPr>
            <w:tcW w:w="3220" w:type="dxa"/>
            <w:vMerge w:val="restart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</w:t>
            </w:r>
          </w:p>
        </w:tc>
        <w:tc>
          <w:tcPr>
            <w:tcW w:w="3291" w:type="dxa"/>
            <w:gridSpan w:val="2"/>
            <w:vAlign w:val="center"/>
          </w:tcPr>
          <w:p w:rsidR="006B5E37" w:rsidRPr="000A2C21" w:rsidRDefault="000A2C21" w:rsidP="00A2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</w:t>
            </w:r>
            <w:r w:rsidR="006B5E37"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</w:t>
            </w:r>
            <w:r w:rsidR="00A26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="006B5E37"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B5E37"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социально-трудового</w:t>
            </w:r>
          </w:p>
        </w:tc>
        <w:tc>
          <w:tcPr>
            <w:tcW w:w="3118" w:type="dxa"/>
            <w:gridSpan w:val="2"/>
            <w:vAlign w:val="center"/>
          </w:tcPr>
          <w:p w:rsidR="006B5E37" w:rsidRPr="000A2C21" w:rsidRDefault="000A2C21" w:rsidP="000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</w:t>
            </w:r>
            <w:r w:rsidR="006B5E37"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</w:t>
            </w: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="006B5E37"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инвестиционного</w:t>
            </w:r>
          </w:p>
        </w:tc>
      </w:tr>
      <w:tr w:rsidR="006B5E37" w:rsidRPr="000A2C21" w:rsidTr="00E06B17">
        <w:trPr>
          <w:cantSplit/>
          <w:trHeight w:val="375"/>
          <w:tblHeader/>
        </w:trPr>
        <w:tc>
          <w:tcPr>
            <w:tcW w:w="3220" w:type="dxa"/>
            <w:vMerge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результата 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потенциала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результата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потенциала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Амуро-Хинганская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-0,80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-1,26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Белогорск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-0,55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Камень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Горный воздух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Камчатка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-0,55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-0,11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Михайловский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Надеждинская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Приамурская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-0,61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-0,38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Хабаровск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Чукотка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-0,44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-1,10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-0,22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Южная Якутия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6B5E37" w:rsidRPr="000A2C21" w:rsidTr="00E53F4E">
        <w:trPr>
          <w:cantSplit/>
          <w:trHeight w:val="284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6B5E37" w:rsidRPr="000A2C21" w:rsidRDefault="006B5E37" w:rsidP="006B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2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Якутия</w:t>
            </w:r>
          </w:p>
        </w:tc>
        <w:tc>
          <w:tcPr>
            <w:tcW w:w="1732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-0,79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559" w:type="dxa"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B5E37" w:rsidRPr="000A2C21" w:rsidRDefault="006B5E37" w:rsidP="006B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2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</w:tr>
    </w:tbl>
    <w:p w:rsidR="006B5E37" w:rsidRPr="00E06B17" w:rsidRDefault="006B5E37" w:rsidP="00E06B17">
      <w:pPr>
        <w:spacing w:after="120" w:line="240" w:lineRule="auto"/>
        <w:ind w:left="-426" w:firstLine="1070"/>
        <w:jc w:val="both"/>
        <w:rPr>
          <w:rFonts w:ascii="Times New Roman" w:hAnsi="Times New Roman"/>
          <w:sz w:val="20"/>
          <w:szCs w:val="20"/>
        </w:rPr>
      </w:pPr>
      <w:r w:rsidRPr="00E06B17">
        <w:rPr>
          <w:rFonts w:ascii="Times New Roman" w:hAnsi="Times New Roman"/>
          <w:sz w:val="20"/>
          <w:szCs w:val="20"/>
        </w:rPr>
        <w:t>*Источник: расчеты Счетной палаты Российской Федерации</w:t>
      </w:r>
    </w:p>
    <w:p w:rsidR="006B5E37" w:rsidRPr="006A7444" w:rsidRDefault="006B5E37" w:rsidP="006B5E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3. </w:t>
      </w:r>
      <w:r w:rsidRPr="006A7444">
        <w:rPr>
          <w:rFonts w:ascii="Times New Roman" w:eastAsia="Calibri" w:hAnsi="Times New Roman" w:cs="Times New Roman"/>
          <w:sz w:val="28"/>
          <w:szCs w:val="28"/>
        </w:rPr>
        <w:t xml:space="preserve">Визуализация результатов оценки осуществлена методом построения «пузырьковых» диаграмм. При этом размер </w:t>
      </w:r>
      <w:r w:rsidR="00E06B17">
        <w:rPr>
          <w:rFonts w:ascii="Times New Roman" w:eastAsia="Calibri" w:hAnsi="Times New Roman" w:cs="Times New Roman"/>
          <w:sz w:val="28"/>
          <w:szCs w:val="28"/>
        </w:rPr>
        <w:t>элементов диаграмм</w:t>
      </w:r>
      <w:r w:rsidRPr="006A7444">
        <w:rPr>
          <w:rFonts w:ascii="Times New Roman" w:eastAsia="Calibri" w:hAnsi="Times New Roman" w:cs="Times New Roman"/>
          <w:sz w:val="28"/>
          <w:szCs w:val="28"/>
        </w:rPr>
        <w:t xml:space="preserve"> определялся </w:t>
      </w:r>
      <w:r w:rsidRPr="006A7444">
        <w:rPr>
          <w:rFonts w:ascii="Times New Roman" w:eastAsia="Calibri" w:hAnsi="Times New Roman" w:cs="Times New Roman"/>
          <w:sz w:val="28"/>
          <w:szCs w:val="28"/>
        </w:rPr>
        <w:br/>
        <w:t>для социально-трудовых результатов и потенциалов количеством созданных рабочих мест, а для инвестиционных – объемом привлеченных инвестиций.</w:t>
      </w:r>
    </w:p>
    <w:p w:rsidR="006B5E37" w:rsidRPr="006B5E37" w:rsidRDefault="006B5E37" w:rsidP="006B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44">
        <w:rPr>
          <w:rFonts w:ascii="Times New Roman" w:eastAsia="Calibri" w:hAnsi="Times New Roman" w:cs="Times New Roman"/>
          <w:sz w:val="28"/>
          <w:szCs w:val="28"/>
        </w:rPr>
        <w:t>Дополнительно цветом маркирована отраслевая специализация отобранных ТОР. Так, по составу и масштабу инвестиционных проектов резидентов для каждого ТОР выделена одна из преобладающих отраслевых специализаций: «обрабатывающие производства (за исключением производства пищевых продуктов)», «добыча полезных ископаемых», «сельское хозяйство, рыболовство и рыбоводство, производство пищевых продуктов» и «туризм».</w:t>
      </w:r>
    </w:p>
    <w:sectPr w:rsidR="006B5E37" w:rsidRPr="006B5E37" w:rsidSect="00DC38E4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33" w:rsidRDefault="00DE2B33" w:rsidP="00842DAC">
      <w:pPr>
        <w:spacing w:after="0" w:line="240" w:lineRule="auto"/>
      </w:pPr>
      <w:r>
        <w:separator/>
      </w:r>
    </w:p>
  </w:endnote>
  <w:endnote w:type="continuationSeparator" w:id="0">
    <w:p w:rsidR="00DE2B33" w:rsidRDefault="00DE2B33" w:rsidP="0084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33" w:rsidRDefault="00DE2B33" w:rsidP="00842DAC">
      <w:pPr>
        <w:spacing w:after="0" w:line="240" w:lineRule="auto"/>
      </w:pPr>
      <w:r>
        <w:separator/>
      </w:r>
    </w:p>
  </w:footnote>
  <w:footnote w:type="continuationSeparator" w:id="0">
    <w:p w:rsidR="00DE2B33" w:rsidRDefault="00DE2B33" w:rsidP="0084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715850"/>
      <w:docPartObj>
        <w:docPartGallery w:val="Page Numbers (Top of Page)"/>
        <w:docPartUnique/>
      </w:docPartObj>
    </w:sdtPr>
    <w:sdtEndPr/>
    <w:sdtContent>
      <w:p w:rsidR="00C160FB" w:rsidRDefault="00C160FB">
        <w:pPr>
          <w:pStyle w:val="a3"/>
          <w:jc w:val="center"/>
        </w:pPr>
        <w:r w:rsidRPr="00741F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F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F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191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41F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0FB" w:rsidRDefault="00C16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BF"/>
    <w:rsid w:val="00074195"/>
    <w:rsid w:val="000A2C21"/>
    <w:rsid w:val="000A443B"/>
    <w:rsid w:val="000D1FA3"/>
    <w:rsid w:val="000F54A7"/>
    <w:rsid w:val="00135876"/>
    <w:rsid w:val="00142820"/>
    <w:rsid w:val="00145945"/>
    <w:rsid w:val="001D2A9F"/>
    <w:rsid w:val="001F5A5E"/>
    <w:rsid w:val="002207F6"/>
    <w:rsid w:val="00223DB1"/>
    <w:rsid w:val="002B1BF6"/>
    <w:rsid w:val="002E0BED"/>
    <w:rsid w:val="002E1530"/>
    <w:rsid w:val="003073E9"/>
    <w:rsid w:val="0030761D"/>
    <w:rsid w:val="003129DC"/>
    <w:rsid w:val="00340EA3"/>
    <w:rsid w:val="00394F9A"/>
    <w:rsid w:val="003A5B97"/>
    <w:rsid w:val="003B7C5D"/>
    <w:rsid w:val="003E67F9"/>
    <w:rsid w:val="003E6EC4"/>
    <w:rsid w:val="004067C0"/>
    <w:rsid w:val="00415B6F"/>
    <w:rsid w:val="00437001"/>
    <w:rsid w:val="004561B9"/>
    <w:rsid w:val="00483AE7"/>
    <w:rsid w:val="004910BE"/>
    <w:rsid w:val="00497DBF"/>
    <w:rsid w:val="004B5E13"/>
    <w:rsid w:val="004D43D6"/>
    <w:rsid w:val="004E7D85"/>
    <w:rsid w:val="00501245"/>
    <w:rsid w:val="00505D31"/>
    <w:rsid w:val="005212AE"/>
    <w:rsid w:val="00525AFE"/>
    <w:rsid w:val="005616C4"/>
    <w:rsid w:val="00586D42"/>
    <w:rsid w:val="005B7721"/>
    <w:rsid w:val="005C53A2"/>
    <w:rsid w:val="005D552B"/>
    <w:rsid w:val="005D7D01"/>
    <w:rsid w:val="00601DF9"/>
    <w:rsid w:val="006273CB"/>
    <w:rsid w:val="006439B9"/>
    <w:rsid w:val="006720F1"/>
    <w:rsid w:val="006A64B7"/>
    <w:rsid w:val="006A7444"/>
    <w:rsid w:val="006B5E37"/>
    <w:rsid w:val="006D0F1E"/>
    <w:rsid w:val="006F5B1F"/>
    <w:rsid w:val="00725383"/>
    <w:rsid w:val="00730C74"/>
    <w:rsid w:val="00741F7B"/>
    <w:rsid w:val="0074230E"/>
    <w:rsid w:val="00750AE9"/>
    <w:rsid w:val="00771E8D"/>
    <w:rsid w:val="00776D4F"/>
    <w:rsid w:val="00787678"/>
    <w:rsid w:val="007A4859"/>
    <w:rsid w:val="00842DAC"/>
    <w:rsid w:val="008642F6"/>
    <w:rsid w:val="008669D3"/>
    <w:rsid w:val="00866DD5"/>
    <w:rsid w:val="008852F8"/>
    <w:rsid w:val="008A1913"/>
    <w:rsid w:val="008A2472"/>
    <w:rsid w:val="008A6DBC"/>
    <w:rsid w:val="008B103D"/>
    <w:rsid w:val="008B75C8"/>
    <w:rsid w:val="008B784F"/>
    <w:rsid w:val="008C11F5"/>
    <w:rsid w:val="008C5B07"/>
    <w:rsid w:val="008D0B0E"/>
    <w:rsid w:val="00935340"/>
    <w:rsid w:val="00952916"/>
    <w:rsid w:val="0096252F"/>
    <w:rsid w:val="00995E6D"/>
    <w:rsid w:val="009B29E6"/>
    <w:rsid w:val="009C743F"/>
    <w:rsid w:val="009D34CA"/>
    <w:rsid w:val="009E635C"/>
    <w:rsid w:val="009E6ED2"/>
    <w:rsid w:val="009F3601"/>
    <w:rsid w:val="00A232C9"/>
    <w:rsid w:val="00A26F6D"/>
    <w:rsid w:val="00A4477B"/>
    <w:rsid w:val="00A460AF"/>
    <w:rsid w:val="00A53EF4"/>
    <w:rsid w:val="00A713D3"/>
    <w:rsid w:val="00A913B6"/>
    <w:rsid w:val="00AA5228"/>
    <w:rsid w:val="00AC6C33"/>
    <w:rsid w:val="00AD0370"/>
    <w:rsid w:val="00AD11A2"/>
    <w:rsid w:val="00AE2020"/>
    <w:rsid w:val="00B00937"/>
    <w:rsid w:val="00B15F41"/>
    <w:rsid w:val="00B17B0D"/>
    <w:rsid w:val="00B377DB"/>
    <w:rsid w:val="00B37A1B"/>
    <w:rsid w:val="00B91E52"/>
    <w:rsid w:val="00BB36BB"/>
    <w:rsid w:val="00BD1EAD"/>
    <w:rsid w:val="00BD4A5B"/>
    <w:rsid w:val="00BD503B"/>
    <w:rsid w:val="00C00514"/>
    <w:rsid w:val="00C160FB"/>
    <w:rsid w:val="00C47523"/>
    <w:rsid w:val="00C774A3"/>
    <w:rsid w:val="00C87157"/>
    <w:rsid w:val="00C878C2"/>
    <w:rsid w:val="00CC15A3"/>
    <w:rsid w:val="00CD14A7"/>
    <w:rsid w:val="00D128E4"/>
    <w:rsid w:val="00D659BB"/>
    <w:rsid w:val="00D84EC4"/>
    <w:rsid w:val="00DA3E91"/>
    <w:rsid w:val="00DB416A"/>
    <w:rsid w:val="00DC38E4"/>
    <w:rsid w:val="00DD7B63"/>
    <w:rsid w:val="00DE2B33"/>
    <w:rsid w:val="00DF43C8"/>
    <w:rsid w:val="00E06B17"/>
    <w:rsid w:val="00E1486B"/>
    <w:rsid w:val="00E167D4"/>
    <w:rsid w:val="00E34ACD"/>
    <w:rsid w:val="00E43555"/>
    <w:rsid w:val="00E47F6D"/>
    <w:rsid w:val="00E53F4E"/>
    <w:rsid w:val="00E56842"/>
    <w:rsid w:val="00E67B42"/>
    <w:rsid w:val="00E7009E"/>
    <w:rsid w:val="00E86080"/>
    <w:rsid w:val="00EC5DB1"/>
    <w:rsid w:val="00EE583D"/>
    <w:rsid w:val="00F63DD7"/>
    <w:rsid w:val="00F65483"/>
    <w:rsid w:val="00F80ACB"/>
    <w:rsid w:val="00FA782C"/>
    <w:rsid w:val="00FC3666"/>
    <w:rsid w:val="00FD49A2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9160"/>
  <w15:docId w15:val="{5F2BE67E-6A84-4EC7-82B4-CB6FA297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DAC"/>
  </w:style>
  <w:style w:type="paragraph" w:styleId="a5">
    <w:name w:val="footer"/>
    <w:basedOn w:val="a"/>
    <w:link w:val="a6"/>
    <w:uiPriority w:val="99"/>
    <w:unhideWhenUsed/>
    <w:rsid w:val="00842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DAC"/>
  </w:style>
  <w:style w:type="paragraph" w:styleId="a7">
    <w:name w:val="footnote text"/>
    <w:basedOn w:val="a"/>
    <w:link w:val="a8"/>
    <w:uiPriority w:val="99"/>
    <w:unhideWhenUsed/>
    <w:rsid w:val="00AD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D1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AD11A2"/>
    <w:rPr>
      <w:vertAlign w:val="superscript"/>
    </w:rPr>
  </w:style>
  <w:style w:type="character" w:styleId="aa">
    <w:name w:val="Placeholder Text"/>
    <w:basedOn w:val="a0"/>
    <w:uiPriority w:val="99"/>
    <w:semiHidden/>
    <w:rsid w:val="003A5B9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8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8C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B5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95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50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90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502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716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3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29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EC10-6872-47CA-86CD-B990C0D1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</dc:creator>
  <cp:lastModifiedBy>Шадрин Максим Сергеевич</cp:lastModifiedBy>
  <cp:revision>18</cp:revision>
  <dcterms:created xsi:type="dcterms:W3CDTF">2021-12-23T09:36:00Z</dcterms:created>
  <dcterms:modified xsi:type="dcterms:W3CDTF">2022-01-17T10:06:00Z</dcterms:modified>
</cp:coreProperties>
</file>